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D10FC">
      <w:pPr>
        <w:spacing w:before="120" w:after="120" w:line="360" w:lineRule="auto"/>
        <w:jc w:val="left"/>
        <w:rPr>
          <w:rFonts w:hint="eastAsia" w:ascii="宋体" w:hAnsi="宋体" w:eastAsia="宋体" w:cs="宋体"/>
          <w:b/>
          <w:bCs/>
          <w:color w:val="auto"/>
          <w:sz w:val="84"/>
          <w:szCs w:val="24"/>
          <w:highlight w:val="none"/>
        </w:rPr>
      </w:pPr>
    </w:p>
    <w:p w14:paraId="66F5E487">
      <w:pPr>
        <w:spacing w:before="120" w:after="120" w:line="360" w:lineRule="auto"/>
        <w:jc w:val="center"/>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单一来源采购文件</w:t>
      </w:r>
    </w:p>
    <w:p w14:paraId="0388B4BA">
      <w:pPr>
        <w:pStyle w:val="184"/>
        <w:rPr>
          <w:rFonts w:hint="eastAsia" w:ascii="宋体" w:hAnsi="宋体" w:eastAsia="宋体" w:cs="宋体"/>
          <w:b/>
          <w:bCs/>
          <w:color w:val="auto"/>
          <w:sz w:val="32"/>
          <w:highlight w:val="none"/>
        </w:rPr>
      </w:pPr>
    </w:p>
    <w:p w14:paraId="00319B6B">
      <w:pPr>
        <w:pStyle w:val="184"/>
        <w:rPr>
          <w:rFonts w:hint="eastAsia" w:ascii="宋体" w:hAnsi="宋体" w:eastAsia="宋体" w:cs="宋体"/>
          <w:b/>
          <w:bCs/>
          <w:color w:val="auto"/>
          <w:sz w:val="32"/>
          <w:highlight w:val="none"/>
        </w:rPr>
      </w:pPr>
    </w:p>
    <w:p w14:paraId="319A29D0">
      <w:pPr>
        <w:pStyle w:val="184"/>
        <w:rPr>
          <w:rFonts w:hint="eastAsia" w:ascii="宋体" w:hAnsi="宋体" w:eastAsia="宋体" w:cs="宋体"/>
          <w:b/>
          <w:bCs/>
          <w:color w:val="auto"/>
          <w:sz w:val="32"/>
          <w:highlight w:val="none"/>
        </w:rPr>
      </w:pPr>
    </w:p>
    <w:p w14:paraId="539ABC6E">
      <w:pPr>
        <w:pStyle w:val="184"/>
        <w:rPr>
          <w:rFonts w:hint="eastAsia" w:ascii="宋体" w:hAnsi="宋体" w:eastAsia="宋体" w:cs="宋体"/>
          <w:b/>
          <w:bCs/>
          <w:color w:val="auto"/>
          <w:sz w:val="32"/>
          <w:highlight w:val="none"/>
        </w:rPr>
      </w:pPr>
    </w:p>
    <w:tbl>
      <w:tblPr>
        <w:tblStyle w:val="29"/>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303D20EC">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5346C4B4">
            <w:pPr>
              <w:spacing w:line="500" w:lineRule="exact"/>
              <w:jc w:val="lef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bidi="ar"/>
              </w:rPr>
              <w:t>项目名称：</w:t>
            </w:r>
          </w:p>
        </w:tc>
        <w:tc>
          <w:tcPr>
            <w:tcW w:w="4752" w:type="dxa"/>
            <w:tcBorders>
              <w:top w:val="nil"/>
              <w:left w:val="nil"/>
              <w:bottom w:val="nil"/>
              <w:right w:val="nil"/>
            </w:tcBorders>
            <w:noWrap w:val="0"/>
            <w:vAlign w:val="center"/>
          </w:tcPr>
          <w:p w14:paraId="3BF437A0">
            <w:pPr>
              <w:spacing w:line="500" w:lineRule="exact"/>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沭阳县2026-2028年度残疾儿童基本康复服务机构采购项目</w:t>
            </w:r>
          </w:p>
        </w:tc>
      </w:tr>
      <w:tr w14:paraId="1F2E0900">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702B7E1E">
            <w:pPr>
              <w:spacing w:line="500" w:lineRule="exact"/>
              <w:jc w:val="left"/>
              <w:rPr>
                <w:rFonts w:hint="eastAsia" w:ascii="宋体" w:hAnsi="宋体" w:eastAsia="宋体" w:cs="宋体"/>
                <w:b/>
                <w:bCs/>
                <w:color w:val="000000"/>
                <w:spacing w:val="45"/>
                <w:sz w:val="28"/>
                <w:szCs w:val="28"/>
                <w:highlight w:val="none"/>
              </w:rPr>
            </w:pPr>
            <w:r>
              <w:rPr>
                <w:rFonts w:hint="eastAsia" w:ascii="宋体" w:hAnsi="宋体" w:eastAsia="宋体" w:cs="宋体"/>
                <w:b/>
                <w:color w:val="000000"/>
                <w:sz w:val="28"/>
                <w:szCs w:val="28"/>
                <w:highlight w:val="none"/>
                <w:lang w:bidi="ar"/>
              </w:rPr>
              <w:t>项目编号：</w:t>
            </w:r>
          </w:p>
        </w:tc>
        <w:tc>
          <w:tcPr>
            <w:tcW w:w="4752" w:type="dxa"/>
            <w:tcBorders>
              <w:top w:val="nil"/>
              <w:left w:val="nil"/>
              <w:bottom w:val="nil"/>
              <w:right w:val="nil"/>
            </w:tcBorders>
            <w:noWrap w:val="0"/>
            <w:vAlign w:val="center"/>
          </w:tcPr>
          <w:p w14:paraId="6BE35E9B">
            <w:pPr>
              <w:spacing w:line="500" w:lineRule="exact"/>
              <w:jc w:val="left"/>
              <w:rPr>
                <w:rFonts w:hint="eastAsia" w:ascii="宋体" w:hAnsi="宋体" w:eastAsia="宋体" w:cs="宋体"/>
                <w:color w:val="000000"/>
                <w:sz w:val="24"/>
                <w:szCs w:val="24"/>
                <w:highlight w:val="yellow"/>
                <w:lang w:eastAsia="zh-CN"/>
              </w:rPr>
            </w:pPr>
            <w:r>
              <w:rPr>
                <w:rFonts w:hint="eastAsia" w:ascii="宋体" w:hAnsi="宋体" w:eastAsia="宋体" w:cs="宋体"/>
                <w:color w:val="auto"/>
                <w:sz w:val="24"/>
                <w:szCs w:val="24"/>
                <w:highlight w:val="none"/>
                <w:lang w:eastAsia="zh-CN"/>
              </w:rPr>
              <w:t>JSZC-321322-QYXM-D2026-0004</w:t>
            </w:r>
          </w:p>
        </w:tc>
      </w:tr>
      <w:tr w14:paraId="403C1B56">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3FFF2E2">
            <w:pPr>
              <w:spacing w:line="500" w:lineRule="exact"/>
              <w:jc w:val="left"/>
              <w:rPr>
                <w:rFonts w:hint="eastAsia" w:ascii="宋体" w:hAnsi="宋体" w:eastAsia="宋体" w:cs="宋体"/>
                <w:b/>
                <w:bCs/>
                <w:color w:val="000000"/>
                <w:sz w:val="28"/>
                <w:szCs w:val="28"/>
                <w:highlight w:val="none"/>
              </w:rPr>
            </w:pPr>
          </w:p>
        </w:tc>
        <w:tc>
          <w:tcPr>
            <w:tcW w:w="4752" w:type="dxa"/>
            <w:tcBorders>
              <w:top w:val="nil"/>
              <w:left w:val="nil"/>
              <w:bottom w:val="nil"/>
              <w:right w:val="nil"/>
            </w:tcBorders>
            <w:noWrap w:val="0"/>
            <w:vAlign w:val="center"/>
          </w:tcPr>
          <w:p w14:paraId="3A6718E7">
            <w:pPr>
              <w:spacing w:line="500" w:lineRule="exact"/>
              <w:jc w:val="left"/>
              <w:rPr>
                <w:rFonts w:hint="eastAsia" w:ascii="宋体" w:hAnsi="宋体" w:eastAsia="宋体" w:cs="宋体"/>
                <w:color w:val="000000"/>
                <w:sz w:val="24"/>
                <w:szCs w:val="24"/>
                <w:highlight w:val="yellow"/>
              </w:rPr>
            </w:pPr>
          </w:p>
        </w:tc>
      </w:tr>
      <w:tr w14:paraId="39F9B1F9">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02C1DC57">
            <w:pPr>
              <w:spacing w:line="500" w:lineRule="exact"/>
              <w:jc w:val="lef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pacing w:val="45"/>
                <w:sz w:val="28"/>
                <w:szCs w:val="28"/>
                <w:highlight w:val="none"/>
              </w:rPr>
              <w:t>采  购 人</w:t>
            </w:r>
            <w:r>
              <w:rPr>
                <w:rFonts w:hint="eastAsia" w:ascii="宋体" w:hAnsi="宋体" w:eastAsia="宋体" w:cs="宋体"/>
                <w:b/>
                <w:bCs/>
                <w:color w:val="000000"/>
                <w:spacing w:val="1"/>
                <w:sz w:val="28"/>
                <w:szCs w:val="28"/>
                <w:highlight w:val="none"/>
              </w:rPr>
              <w:t>：</w:t>
            </w:r>
          </w:p>
        </w:tc>
        <w:tc>
          <w:tcPr>
            <w:tcW w:w="4752" w:type="dxa"/>
            <w:tcBorders>
              <w:top w:val="nil"/>
              <w:left w:val="nil"/>
              <w:bottom w:val="nil"/>
              <w:right w:val="nil"/>
            </w:tcBorders>
            <w:noWrap w:val="0"/>
            <w:vAlign w:val="center"/>
          </w:tcPr>
          <w:p w14:paraId="143C2E24">
            <w:pPr>
              <w:spacing w:line="500" w:lineRule="exact"/>
              <w:jc w:val="lef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沭阳县</w:t>
            </w:r>
            <w:r>
              <w:rPr>
                <w:rFonts w:hint="eastAsia" w:ascii="宋体" w:hAnsi="宋体" w:eastAsia="宋体" w:cs="宋体"/>
                <w:color w:val="000000"/>
                <w:sz w:val="24"/>
                <w:szCs w:val="24"/>
                <w:highlight w:val="none"/>
              </w:rPr>
              <w:t>残疾人联合会</w:t>
            </w:r>
          </w:p>
        </w:tc>
      </w:tr>
      <w:tr w14:paraId="3A29C0EB">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423031CE">
            <w:pPr>
              <w:spacing w:line="500" w:lineRule="exact"/>
              <w:jc w:val="left"/>
              <w:rPr>
                <w:rFonts w:hint="eastAsia" w:ascii="宋体" w:hAnsi="宋体" w:eastAsia="宋体" w:cs="宋体"/>
                <w:b/>
                <w:bCs/>
                <w:color w:val="000000"/>
                <w:spacing w:val="45"/>
                <w:sz w:val="28"/>
                <w:szCs w:val="28"/>
                <w:highlight w:val="none"/>
                <w:lang w:val="en-US" w:eastAsia="zh-CN" w:bidi="ar-SA"/>
              </w:rPr>
            </w:pPr>
            <w:r>
              <w:rPr>
                <w:rFonts w:hint="eastAsia" w:ascii="宋体" w:hAnsi="宋体" w:eastAsia="宋体" w:cs="宋体"/>
                <w:b/>
                <w:bCs/>
                <w:color w:val="000000"/>
                <w:sz w:val="28"/>
                <w:szCs w:val="28"/>
                <w:highlight w:val="none"/>
              </w:rPr>
              <w:t>采购代理机构：</w:t>
            </w:r>
          </w:p>
        </w:tc>
        <w:tc>
          <w:tcPr>
            <w:tcW w:w="4752" w:type="dxa"/>
            <w:tcBorders>
              <w:top w:val="nil"/>
              <w:left w:val="nil"/>
              <w:bottom w:val="nil"/>
              <w:right w:val="nil"/>
            </w:tcBorders>
            <w:noWrap w:val="0"/>
            <w:vAlign w:val="center"/>
          </w:tcPr>
          <w:p w14:paraId="5058FE79">
            <w:pPr>
              <w:spacing w:line="500" w:lineRule="exact"/>
              <w:jc w:val="lef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江苏仟亿项目管理有限公司</w:t>
            </w:r>
          </w:p>
        </w:tc>
      </w:tr>
      <w:tr w14:paraId="331CA2AF">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61891B8A">
            <w:pPr>
              <w:spacing w:line="500" w:lineRule="exact"/>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日期：</w:t>
            </w:r>
          </w:p>
        </w:tc>
        <w:tc>
          <w:tcPr>
            <w:tcW w:w="4752" w:type="dxa"/>
            <w:tcBorders>
              <w:top w:val="nil"/>
              <w:left w:val="nil"/>
              <w:bottom w:val="nil"/>
              <w:right w:val="nil"/>
            </w:tcBorders>
            <w:noWrap w:val="0"/>
            <w:vAlign w:val="center"/>
          </w:tcPr>
          <w:p w14:paraId="20BEE4DA">
            <w:pPr>
              <w:spacing w:line="500" w:lineRule="exact"/>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2026年</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月</w:t>
            </w: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lang w:val="en-US" w:eastAsia="zh-CN"/>
              </w:rPr>
              <w:t>日</w:t>
            </w:r>
          </w:p>
        </w:tc>
      </w:tr>
    </w:tbl>
    <w:p w14:paraId="0FB87BDD">
      <w:pPr>
        <w:spacing w:before="120" w:after="120" w:line="360" w:lineRule="auto"/>
        <w:jc w:val="left"/>
        <w:rPr>
          <w:rFonts w:hint="eastAsia" w:ascii="宋体" w:hAnsi="宋体" w:eastAsia="宋体" w:cs="宋体"/>
          <w:color w:val="auto"/>
          <w:sz w:val="24"/>
          <w:szCs w:val="24"/>
          <w:highlight w:val="none"/>
        </w:rPr>
      </w:pPr>
    </w:p>
    <w:p w14:paraId="0F9338B4">
      <w:pPr>
        <w:spacing w:before="120" w:after="120" w:line="360" w:lineRule="auto"/>
        <w:jc w:val="left"/>
        <w:rPr>
          <w:rFonts w:hint="eastAsia" w:ascii="宋体" w:hAnsi="宋体" w:eastAsia="宋体" w:cs="宋体"/>
          <w:color w:val="auto"/>
          <w:sz w:val="24"/>
          <w:szCs w:val="24"/>
          <w:highlight w:val="none"/>
        </w:rPr>
      </w:pPr>
    </w:p>
    <w:p w14:paraId="0C9E359F">
      <w:pPr>
        <w:spacing w:before="120" w:after="120" w:line="360" w:lineRule="auto"/>
        <w:jc w:val="left"/>
        <w:rPr>
          <w:rFonts w:hint="eastAsia" w:ascii="宋体" w:hAnsi="宋体" w:eastAsia="宋体" w:cs="宋体"/>
          <w:color w:val="auto"/>
          <w:sz w:val="24"/>
          <w:szCs w:val="24"/>
          <w:highlight w:val="none"/>
        </w:rPr>
      </w:pPr>
    </w:p>
    <w:p w14:paraId="0D5435CD">
      <w:pPr>
        <w:spacing w:before="120" w:after="120" w:line="360" w:lineRule="auto"/>
        <w:jc w:val="left"/>
        <w:rPr>
          <w:rFonts w:hint="eastAsia" w:ascii="宋体" w:hAnsi="宋体" w:eastAsia="宋体" w:cs="宋体"/>
          <w:color w:val="auto"/>
          <w:sz w:val="24"/>
          <w:szCs w:val="24"/>
          <w:highlight w:val="none"/>
        </w:rPr>
      </w:pPr>
    </w:p>
    <w:p w14:paraId="69AEF1B6">
      <w:pPr>
        <w:spacing w:before="120" w:after="120" w:line="360" w:lineRule="auto"/>
        <w:jc w:val="left"/>
        <w:rPr>
          <w:rFonts w:hint="eastAsia" w:ascii="宋体" w:hAnsi="宋体" w:eastAsia="宋体" w:cs="宋体"/>
          <w:color w:val="auto"/>
          <w:sz w:val="24"/>
          <w:szCs w:val="24"/>
          <w:highlight w:val="none"/>
        </w:rPr>
      </w:pPr>
    </w:p>
    <w:p w14:paraId="03390283">
      <w:pPr>
        <w:spacing w:before="120" w:after="120" w:line="360" w:lineRule="auto"/>
        <w:jc w:val="left"/>
        <w:rPr>
          <w:rFonts w:hint="eastAsia" w:ascii="宋体" w:hAnsi="宋体" w:eastAsia="宋体" w:cs="宋体"/>
          <w:color w:val="auto"/>
          <w:sz w:val="24"/>
          <w:szCs w:val="24"/>
          <w:highlight w:val="none"/>
        </w:rPr>
      </w:pPr>
    </w:p>
    <w:p w14:paraId="4E1AE3B8">
      <w:pPr>
        <w:spacing w:before="120" w:after="120" w:line="360" w:lineRule="auto"/>
        <w:jc w:val="left"/>
        <w:rPr>
          <w:rFonts w:hint="eastAsia" w:ascii="宋体" w:hAnsi="宋体" w:eastAsia="宋体" w:cs="宋体"/>
          <w:color w:val="auto"/>
          <w:sz w:val="24"/>
          <w:szCs w:val="24"/>
          <w:highlight w:val="none"/>
        </w:rPr>
      </w:pPr>
    </w:p>
    <w:p w14:paraId="4143D5A4">
      <w:pPr>
        <w:spacing w:before="120" w:after="120" w:line="360" w:lineRule="auto"/>
        <w:jc w:val="left"/>
        <w:rPr>
          <w:rFonts w:hint="eastAsia" w:ascii="宋体" w:hAnsi="宋体" w:eastAsia="宋体" w:cs="宋体"/>
          <w:color w:val="auto"/>
          <w:sz w:val="24"/>
          <w:szCs w:val="24"/>
          <w:highlight w:val="none"/>
        </w:rPr>
      </w:pPr>
    </w:p>
    <w:p w14:paraId="637E883A">
      <w:pPr>
        <w:spacing w:before="120" w:after="120" w:line="360" w:lineRule="auto"/>
        <w:jc w:val="left"/>
        <w:rPr>
          <w:rFonts w:hint="eastAsia" w:ascii="宋体" w:hAnsi="宋体" w:eastAsia="宋体" w:cs="宋体"/>
          <w:color w:val="auto"/>
          <w:sz w:val="24"/>
          <w:szCs w:val="24"/>
          <w:highlight w:val="none"/>
        </w:rPr>
      </w:pPr>
    </w:p>
    <w:p w14:paraId="176E4044">
      <w:pPr>
        <w:spacing w:before="120" w:after="120" w:line="360" w:lineRule="auto"/>
        <w:jc w:val="left"/>
        <w:rPr>
          <w:rFonts w:hint="eastAsia" w:ascii="宋体" w:hAnsi="宋体" w:eastAsia="宋体" w:cs="宋体"/>
          <w:color w:val="auto"/>
          <w:sz w:val="24"/>
          <w:szCs w:val="24"/>
          <w:highlight w:val="none"/>
        </w:rPr>
      </w:pPr>
    </w:p>
    <w:p w14:paraId="024F8BEB">
      <w:pPr>
        <w:spacing w:before="120" w:after="120" w:line="360" w:lineRule="auto"/>
        <w:jc w:val="left"/>
        <w:rPr>
          <w:rFonts w:hint="eastAsia" w:ascii="宋体" w:hAnsi="宋体" w:eastAsia="宋体" w:cs="宋体"/>
          <w:color w:val="auto"/>
          <w:sz w:val="24"/>
          <w:szCs w:val="24"/>
          <w:highlight w:val="none"/>
        </w:rPr>
      </w:pPr>
    </w:p>
    <w:p w14:paraId="60A871A5">
      <w:pPr>
        <w:spacing w:before="120" w:after="120" w:line="360" w:lineRule="auto"/>
        <w:jc w:val="left"/>
        <w:rPr>
          <w:rFonts w:hint="eastAsia" w:ascii="宋体" w:hAnsi="宋体" w:eastAsia="宋体" w:cs="宋体"/>
          <w:color w:val="auto"/>
          <w:sz w:val="24"/>
          <w:szCs w:val="24"/>
          <w:highlight w:val="none"/>
        </w:rPr>
      </w:pPr>
    </w:p>
    <w:p w14:paraId="17D2A531">
      <w:pPr>
        <w:spacing w:before="120" w:after="120" w:line="360" w:lineRule="auto"/>
        <w:jc w:val="left"/>
        <w:rPr>
          <w:rFonts w:hint="eastAsia" w:ascii="宋体" w:hAnsi="宋体" w:eastAsia="宋体" w:cs="宋体"/>
          <w:color w:val="auto"/>
          <w:sz w:val="24"/>
          <w:szCs w:val="24"/>
          <w:highlight w:val="none"/>
        </w:rPr>
      </w:pPr>
    </w:p>
    <w:p w14:paraId="06571862">
      <w:pPr>
        <w:spacing w:before="120" w:after="120"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0D2752C6">
      <w:pPr>
        <w:spacing w:line="480" w:lineRule="auto"/>
        <w:jc w:val="center"/>
        <w:outlineLvl w:val="0"/>
        <w:rPr>
          <w:rFonts w:hint="eastAsia" w:ascii="宋体" w:hAnsi="宋体" w:eastAsia="宋体" w:cs="宋体"/>
          <w:b/>
          <w:color w:val="auto"/>
          <w:sz w:val="44"/>
          <w:szCs w:val="21"/>
          <w:highlight w:val="none"/>
        </w:rPr>
      </w:pPr>
      <w:bookmarkStart w:id="0" w:name="_Toc120614210"/>
      <w:bookmarkStart w:id="1" w:name="_Toc523127445"/>
      <w:bookmarkStart w:id="2" w:name="_Toc513029200"/>
      <w:bookmarkStart w:id="3" w:name="_Toc20823272"/>
      <w:bookmarkStart w:id="4" w:name="_Toc16938516"/>
      <w:bookmarkStart w:id="5" w:name="_Toc479757206"/>
      <w:r>
        <w:rPr>
          <w:rFonts w:hint="eastAsia" w:ascii="宋体" w:hAnsi="宋体" w:eastAsia="宋体" w:cs="宋体"/>
          <w:b/>
          <w:color w:val="auto"/>
          <w:sz w:val="44"/>
          <w:szCs w:val="21"/>
          <w:highlight w:val="none"/>
        </w:rPr>
        <w:t>总  目  录</w:t>
      </w:r>
    </w:p>
    <w:p w14:paraId="3C29DE50">
      <w:pPr>
        <w:spacing w:line="480" w:lineRule="auto"/>
        <w:rPr>
          <w:rFonts w:hint="eastAsia" w:ascii="宋体" w:hAnsi="宋体" w:eastAsia="宋体" w:cs="宋体"/>
          <w:b/>
          <w:color w:val="auto"/>
          <w:sz w:val="28"/>
          <w:szCs w:val="21"/>
          <w:highlight w:val="none"/>
        </w:rPr>
      </w:pPr>
    </w:p>
    <w:p w14:paraId="7A941CDC">
      <w:pPr>
        <w:numPr>
          <w:ilvl w:val="0"/>
          <w:numId w:val="1"/>
        </w:numPr>
        <w:spacing w:line="480" w:lineRule="auto"/>
        <w:ind w:left="1440" w:hanging="1440"/>
        <w:outlineLvl w:val="0"/>
        <w:rPr>
          <w:rFonts w:hint="eastAsia" w:ascii="宋体" w:hAnsi="宋体" w:eastAsia="宋体" w:cs="宋体"/>
          <w:color w:val="auto"/>
          <w:sz w:val="32"/>
          <w:szCs w:val="21"/>
          <w:highlight w:val="none"/>
        </w:rPr>
      </w:pPr>
      <w:r>
        <w:rPr>
          <w:rFonts w:hint="eastAsia" w:ascii="宋体" w:hAnsi="宋体" w:eastAsia="宋体" w:cs="宋体"/>
          <w:color w:val="auto"/>
          <w:sz w:val="36"/>
          <w:szCs w:val="21"/>
          <w:highlight w:val="none"/>
        </w:rPr>
        <w:t>单一来源采购邀请…………………………</w:t>
      </w:r>
    </w:p>
    <w:p w14:paraId="3F2CE1FB">
      <w:pPr>
        <w:numPr>
          <w:ilvl w:val="0"/>
          <w:numId w:val="1"/>
        </w:numPr>
        <w:spacing w:line="480" w:lineRule="auto"/>
        <w:ind w:left="1440" w:hanging="1440"/>
        <w:outlineLvl w:val="0"/>
        <w:rPr>
          <w:rFonts w:hint="eastAsia" w:ascii="宋体" w:hAnsi="宋体" w:eastAsia="宋体" w:cs="宋体"/>
          <w:color w:val="auto"/>
          <w:sz w:val="36"/>
          <w:szCs w:val="21"/>
          <w:highlight w:val="none"/>
        </w:rPr>
      </w:pPr>
      <w:r>
        <w:rPr>
          <w:rFonts w:hint="eastAsia" w:ascii="宋体" w:hAnsi="宋体" w:eastAsia="宋体" w:cs="宋体"/>
          <w:bCs/>
          <w:color w:val="auto"/>
          <w:sz w:val="36"/>
          <w:szCs w:val="36"/>
          <w:highlight w:val="none"/>
        </w:rPr>
        <w:t>供应商须知</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21"/>
          <w:highlight w:val="none"/>
        </w:rPr>
        <w:t xml:space="preserve">………………………………  </w:t>
      </w:r>
    </w:p>
    <w:p w14:paraId="35F7C6E2">
      <w:pPr>
        <w:numPr>
          <w:ilvl w:val="0"/>
          <w:numId w:val="1"/>
        </w:numPr>
        <w:spacing w:line="480" w:lineRule="auto"/>
        <w:ind w:left="1440" w:hanging="1440"/>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采购需求……………………………………</w:t>
      </w:r>
    </w:p>
    <w:p w14:paraId="4D6E412E">
      <w:pPr>
        <w:numPr>
          <w:ilvl w:val="0"/>
          <w:numId w:val="1"/>
        </w:numPr>
        <w:spacing w:line="480" w:lineRule="auto"/>
        <w:ind w:left="1440" w:hanging="1440"/>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合同文本……………………………………</w:t>
      </w:r>
    </w:p>
    <w:p w14:paraId="39C25D7D">
      <w:pPr>
        <w:numPr>
          <w:ilvl w:val="0"/>
          <w:numId w:val="1"/>
        </w:numPr>
        <w:spacing w:line="480" w:lineRule="auto"/>
        <w:ind w:left="1440" w:hanging="1440"/>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响应文件格式………………………………</w:t>
      </w:r>
    </w:p>
    <w:p w14:paraId="5EADD796">
      <w:pPr>
        <w:rPr>
          <w:rFonts w:hint="eastAsia" w:ascii="宋体" w:hAnsi="宋体" w:eastAsia="宋体" w:cs="宋体"/>
          <w:color w:val="auto"/>
          <w:szCs w:val="21"/>
          <w:highlight w:val="none"/>
        </w:rPr>
      </w:pPr>
    </w:p>
    <w:p w14:paraId="2C50FD8E">
      <w:pPr>
        <w:rPr>
          <w:rFonts w:hint="eastAsia" w:ascii="宋体" w:hAnsi="宋体" w:eastAsia="宋体" w:cs="宋体"/>
          <w:color w:val="auto"/>
          <w:szCs w:val="21"/>
          <w:highlight w:val="none"/>
        </w:rPr>
      </w:pPr>
    </w:p>
    <w:p w14:paraId="46E68EFA">
      <w:pPr>
        <w:rPr>
          <w:rFonts w:hint="eastAsia" w:ascii="宋体" w:hAnsi="宋体" w:eastAsia="宋体" w:cs="宋体"/>
          <w:color w:val="auto"/>
          <w:szCs w:val="21"/>
          <w:highlight w:val="none"/>
        </w:rPr>
      </w:pPr>
    </w:p>
    <w:p w14:paraId="43770016">
      <w:pPr>
        <w:rPr>
          <w:rFonts w:hint="eastAsia" w:ascii="宋体" w:hAnsi="宋体" w:eastAsia="宋体" w:cs="宋体"/>
          <w:color w:val="auto"/>
          <w:szCs w:val="21"/>
          <w:highlight w:val="none"/>
        </w:rPr>
      </w:pPr>
    </w:p>
    <w:p w14:paraId="6ED01920">
      <w:pPr>
        <w:rPr>
          <w:rFonts w:hint="eastAsia" w:ascii="宋体" w:hAnsi="宋体" w:eastAsia="宋体" w:cs="宋体"/>
          <w:color w:val="auto"/>
          <w:szCs w:val="21"/>
          <w:highlight w:val="none"/>
        </w:rPr>
      </w:pPr>
    </w:p>
    <w:p w14:paraId="24B6914E">
      <w:pPr>
        <w:rPr>
          <w:rFonts w:hint="eastAsia" w:ascii="宋体" w:hAnsi="宋体" w:eastAsia="宋体" w:cs="宋体"/>
          <w:color w:val="auto"/>
          <w:szCs w:val="21"/>
          <w:highlight w:val="none"/>
        </w:rPr>
      </w:pPr>
    </w:p>
    <w:p w14:paraId="73D2BA70">
      <w:pPr>
        <w:rPr>
          <w:rFonts w:hint="eastAsia" w:ascii="宋体" w:hAnsi="宋体" w:eastAsia="宋体" w:cs="宋体"/>
          <w:color w:val="auto"/>
          <w:szCs w:val="21"/>
          <w:highlight w:val="none"/>
        </w:rPr>
      </w:pPr>
    </w:p>
    <w:p w14:paraId="1AFABC37">
      <w:pPr>
        <w:rPr>
          <w:rFonts w:hint="eastAsia" w:ascii="宋体" w:hAnsi="宋体" w:eastAsia="宋体" w:cs="宋体"/>
          <w:color w:val="auto"/>
          <w:szCs w:val="21"/>
          <w:highlight w:val="none"/>
        </w:rPr>
      </w:pPr>
    </w:p>
    <w:p w14:paraId="70B0E1B2">
      <w:pPr>
        <w:rPr>
          <w:rFonts w:hint="eastAsia" w:ascii="宋体" w:hAnsi="宋体" w:eastAsia="宋体" w:cs="宋体"/>
          <w:color w:val="auto"/>
          <w:szCs w:val="21"/>
          <w:highlight w:val="none"/>
        </w:rPr>
      </w:pPr>
    </w:p>
    <w:p w14:paraId="61220C3F">
      <w:pPr>
        <w:rPr>
          <w:rFonts w:hint="eastAsia" w:ascii="宋体" w:hAnsi="宋体" w:eastAsia="宋体" w:cs="宋体"/>
          <w:color w:val="auto"/>
          <w:szCs w:val="21"/>
          <w:highlight w:val="none"/>
        </w:rPr>
      </w:pPr>
    </w:p>
    <w:p w14:paraId="4657CE6E">
      <w:pPr>
        <w:rPr>
          <w:rFonts w:hint="eastAsia" w:ascii="宋体" w:hAnsi="宋体" w:eastAsia="宋体" w:cs="宋体"/>
          <w:color w:val="auto"/>
          <w:szCs w:val="21"/>
          <w:highlight w:val="none"/>
        </w:rPr>
      </w:pPr>
    </w:p>
    <w:p w14:paraId="22582C05">
      <w:pPr>
        <w:rPr>
          <w:rFonts w:hint="eastAsia" w:ascii="宋体" w:hAnsi="宋体" w:eastAsia="宋体" w:cs="宋体"/>
          <w:color w:val="auto"/>
          <w:szCs w:val="21"/>
          <w:highlight w:val="none"/>
        </w:rPr>
      </w:pPr>
    </w:p>
    <w:p w14:paraId="524C596F">
      <w:pPr>
        <w:rPr>
          <w:rFonts w:hint="eastAsia" w:ascii="宋体" w:hAnsi="宋体" w:eastAsia="宋体" w:cs="宋体"/>
          <w:color w:val="auto"/>
          <w:szCs w:val="21"/>
          <w:highlight w:val="none"/>
        </w:rPr>
      </w:pPr>
    </w:p>
    <w:p w14:paraId="0D83CC0E">
      <w:pPr>
        <w:rPr>
          <w:rFonts w:hint="eastAsia" w:ascii="宋体" w:hAnsi="宋体" w:eastAsia="宋体" w:cs="宋体"/>
          <w:color w:val="auto"/>
          <w:szCs w:val="21"/>
          <w:highlight w:val="none"/>
        </w:rPr>
      </w:pPr>
    </w:p>
    <w:p w14:paraId="0805FC89">
      <w:pPr>
        <w:rPr>
          <w:rFonts w:hint="eastAsia" w:ascii="宋体" w:hAnsi="宋体" w:eastAsia="宋体" w:cs="宋体"/>
          <w:color w:val="auto"/>
          <w:szCs w:val="21"/>
          <w:highlight w:val="none"/>
        </w:rPr>
      </w:pPr>
    </w:p>
    <w:p w14:paraId="7D832C14">
      <w:pPr>
        <w:rPr>
          <w:rFonts w:hint="eastAsia" w:ascii="宋体" w:hAnsi="宋体" w:eastAsia="宋体" w:cs="宋体"/>
          <w:color w:val="auto"/>
          <w:szCs w:val="21"/>
          <w:highlight w:val="none"/>
        </w:rPr>
      </w:pPr>
    </w:p>
    <w:p w14:paraId="2B5734FB">
      <w:pPr>
        <w:rPr>
          <w:rFonts w:hint="eastAsia" w:ascii="宋体" w:hAnsi="宋体" w:eastAsia="宋体" w:cs="宋体"/>
          <w:color w:val="auto"/>
          <w:szCs w:val="21"/>
          <w:highlight w:val="none"/>
        </w:rPr>
      </w:pPr>
    </w:p>
    <w:p w14:paraId="25D5587C">
      <w:pPr>
        <w:rPr>
          <w:rFonts w:hint="eastAsia" w:ascii="宋体" w:hAnsi="宋体" w:eastAsia="宋体" w:cs="宋体"/>
          <w:color w:val="auto"/>
          <w:szCs w:val="21"/>
          <w:highlight w:val="none"/>
        </w:rPr>
      </w:pPr>
    </w:p>
    <w:p w14:paraId="0AF8EC0E">
      <w:pPr>
        <w:rPr>
          <w:rFonts w:hint="eastAsia" w:ascii="宋体" w:hAnsi="宋体" w:eastAsia="宋体" w:cs="宋体"/>
          <w:color w:val="auto"/>
          <w:szCs w:val="21"/>
          <w:highlight w:val="none"/>
        </w:rPr>
      </w:pPr>
    </w:p>
    <w:p w14:paraId="5E306B88">
      <w:pPr>
        <w:rPr>
          <w:rFonts w:hint="eastAsia" w:ascii="宋体" w:hAnsi="宋体" w:eastAsia="宋体" w:cs="宋体"/>
          <w:color w:val="auto"/>
          <w:szCs w:val="21"/>
          <w:highlight w:val="none"/>
        </w:rPr>
      </w:pPr>
    </w:p>
    <w:p w14:paraId="5D4EC919">
      <w:pPr>
        <w:rPr>
          <w:rFonts w:hint="eastAsia" w:ascii="宋体" w:hAnsi="宋体" w:eastAsia="宋体" w:cs="宋体"/>
          <w:color w:val="auto"/>
          <w:szCs w:val="21"/>
          <w:highlight w:val="none"/>
        </w:rPr>
      </w:pPr>
    </w:p>
    <w:p w14:paraId="1C5AABAA">
      <w:pPr>
        <w:rPr>
          <w:rFonts w:hint="eastAsia" w:ascii="宋体" w:hAnsi="宋体" w:eastAsia="宋体" w:cs="宋体"/>
          <w:color w:val="auto"/>
          <w:szCs w:val="21"/>
          <w:highlight w:val="none"/>
        </w:rPr>
      </w:pPr>
    </w:p>
    <w:p w14:paraId="06532BE6">
      <w:pPr>
        <w:rPr>
          <w:rFonts w:hint="eastAsia" w:ascii="宋体" w:hAnsi="宋体" w:eastAsia="宋体" w:cs="宋体"/>
          <w:color w:val="auto"/>
          <w:szCs w:val="21"/>
          <w:highlight w:val="none"/>
        </w:rPr>
      </w:pPr>
    </w:p>
    <w:p w14:paraId="574528C8">
      <w:pPr>
        <w:rPr>
          <w:rFonts w:hint="eastAsia" w:ascii="宋体" w:hAnsi="宋体" w:eastAsia="宋体" w:cs="宋体"/>
          <w:color w:val="auto"/>
          <w:szCs w:val="21"/>
          <w:highlight w:val="none"/>
        </w:rPr>
      </w:pPr>
    </w:p>
    <w:p w14:paraId="37DFBD06">
      <w:pPr>
        <w:rPr>
          <w:rFonts w:hint="eastAsia" w:ascii="宋体" w:hAnsi="宋体" w:eastAsia="宋体" w:cs="宋体"/>
          <w:color w:val="auto"/>
          <w:szCs w:val="21"/>
          <w:highlight w:val="none"/>
        </w:rPr>
      </w:pPr>
    </w:p>
    <w:p w14:paraId="0B722D6B">
      <w:pPr>
        <w:keepNext/>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第一章  </w:t>
      </w:r>
      <w:bookmarkEnd w:id="0"/>
      <w:r>
        <w:rPr>
          <w:rFonts w:hint="eastAsia" w:ascii="宋体" w:hAnsi="宋体" w:eastAsia="宋体" w:cs="宋体"/>
          <w:b/>
          <w:bCs/>
          <w:color w:val="auto"/>
          <w:sz w:val="44"/>
          <w:szCs w:val="44"/>
          <w:highlight w:val="none"/>
        </w:rPr>
        <w:t>单一来源采购邀请</w:t>
      </w:r>
    </w:p>
    <w:p w14:paraId="6A8E59DD">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bookmarkStart w:id="6" w:name="_Toc28359002"/>
      <w:bookmarkStart w:id="7" w:name="_Toc35393621"/>
      <w:bookmarkStart w:id="8" w:name="_Toc35393790"/>
      <w:bookmarkStart w:id="9" w:name="_Toc28359079"/>
      <w:bookmarkStart w:id="10" w:name="_Toc38985263"/>
      <w:bookmarkStart w:id="11" w:name="_Hlk24379207"/>
    </w:p>
    <w:p w14:paraId="2CA29880">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采购包1：</w:t>
      </w:r>
      <w:r>
        <w:rPr>
          <w:rFonts w:hint="eastAsia" w:ascii="宋体" w:hAnsi="宋体" w:cs="宋体"/>
          <w:b/>
          <w:bCs/>
          <w:color w:val="auto"/>
          <w:sz w:val="28"/>
          <w:szCs w:val="28"/>
          <w:highlight w:val="none"/>
          <w:lang w:eastAsia="zh-CN"/>
        </w:rPr>
        <w:t>沭阳县2026-2028年残疾儿童基本康复服务--视力康复</w:t>
      </w:r>
    </w:p>
    <w:p w14:paraId="2598F262">
      <w:pPr>
        <w:pageBreakBefore w:val="0"/>
        <w:kinsoku/>
        <w:wordWrap/>
        <w:overflowPunct/>
        <w:topLinePunct w:val="0"/>
        <w:autoSpaceDE/>
        <w:autoSpaceDN/>
        <w:bidi w:val="0"/>
        <w:adjustRightInd/>
        <w:snapToGrid/>
        <w:spacing w:line="460" w:lineRule="exact"/>
        <w:jc w:val="center"/>
        <w:textAlignment w:val="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服务机构采购项目</w:t>
      </w:r>
    </w:p>
    <w:p w14:paraId="0D1757BE">
      <w:pPr>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沭阳眼科医院</w:t>
      </w:r>
      <w:r>
        <w:rPr>
          <w:rFonts w:hint="eastAsia" w:ascii="宋体" w:hAnsi="宋体" w:eastAsia="宋体" w:cs="宋体"/>
          <w:b w:val="0"/>
          <w:bCs w:val="0"/>
          <w:color w:val="auto"/>
          <w:sz w:val="24"/>
          <w:szCs w:val="24"/>
          <w:highlight w:val="none"/>
        </w:rPr>
        <w:t>：</w:t>
      </w:r>
    </w:p>
    <w:p w14:paraId="092D2AC9">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受沭阳县残疾人联合会的委托，</w:t>
      </w:r>
      <w:r>
        <w:rPr>
          <w:rFonts w:hint="eastAsia" w:ascii="宋体" w:hAnsi="宋体" w:cs="宋体"/>
          <w:color w:val="auto"/>
          <w:sz w:val="24"/>
          <w:szCs w:val="24"/>
          <w:lang w:eastAsia="zh-CN"/>
        </w:rPr>
        <w:t>江苏仟亿项目管理有限公司</w:t>
      </w:r>
      <w:r>
        <w:rPr>
          <w:rFonts w:hint="eastAsia" w:ascii="宋体" w:hAnsi="宋体" w:eastAsia="宋体" w:cs="宋体"/>
          <w:b w:val="0"/>
          <w:bCs w:val="0"/>
          <w:color w:val="auto"/>
          <w:sz w:val="24"/>
          <w:szCs w:val="24"/>
          <w:highlight w:val="none"/>
        </w:rPr>
        <w:t>就</w:t>
      </w:r>
      <w:r>
        <w:rPr>
          <w:rFonts w:hint="eastAsia" w:ascii="宋体" w:hAnsi="宋体" w:cs="宋体"/>
          <w:b w:val="0"/>
          <w:bCs w:val="0"/>
          <w:color w:val="auto"/>
          <w:sz w:val="24"/>
          <w:szCs w:val="24"/>
          <w:highlight w:val="none"/>
          <w:lang w:eastAsia="zh-CN"/>
        </w:rPr>
        <w:t>沭阳县2026-2028年残疾儿童基本康复服务--视力康复服务机构采购项目</w:t>
      </w:r>
      <w:r>
        <w:rPr>
          <w:rFonts w:hint="eastAsia" w:ascii="宋体" w:hAnsi="宋体" w:eastAsia="宋体" w:cs="宋体"/>
          <w:b w:val="0"/>
          <w:bCs w:val="0"/>
          <w:color w:val="auto"/>
          <w:sz w:val="24"/>
          <w:szCs w:val="24"/>
          <w:highlight w:val="none"/>
        </w:rPr>
        <w:t>(JSZC-321322-QYXM-D2026-0004)项目进行单一来源采购，欢迎贵单位前来参与本次洽谈。</w:t>
      </w:r>
    </w:p>
    <w:p w14:paraId="15B04CDE">
      <w:pPr>
        <w:keepNext/>
        <w:keepLines/>
        <w:pageBreakBefore w:val="0"/>
        <w:widowControl w:val="0"/>
        <w:kinsoku/>
        <w:wordWrap/>
        <w:overflowPunct/>
        <w:topLinePunct w:val="0"/>
        <w:autoSpaceDE/>
        <w:autoSpaceDN/>
        <w:bidi w:val="0"/>
        <w:adjustRightInd/>
        <w:snapToGrid/>
        <w:spacing w:line="40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3B1DD582">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eastAsia="宋体" w:cs="宋体"/>
          <w:b w:val="0"/>
          <w:bCs w:val="0"/>
          <w:color w:val="auto"/>
          <w:sz w:val="24"/>
          <w:szCs w:val="24"/>
          <w:highlight w:val="none"/>
        </w:rPr>
        <w:t>：JSZC-321322-QYXM-D2026-0004</w:t>
      </w:r>
    </w:p>
    <w:p w14:paraId="15D386AB">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2.项目名称：</w:t>
      </w:r>
      <w:r>
        <w:rPr>
          <w:rFonts w:hint="eastAsia" w:ascii="宋体" w:hAnsi="宋体" w:cs="宋体"/>
          <w:b w:val="0"/>
          <w:bCs w:val="0"/>
          <w:color w:val="auto"/>
          <w:sz w:val="24"/>
          <w:szCs w:val="24"/>
          <w:highlight w:val="none"/>
          <w:lang w:eastAsia="zh-CN"/>
        </w:rPr>
        <w:t>沭阳县2026-2028年残疾儿童基本康复服务--视力康复服务机构采购项目</w:t>
      </w:r>
    </w:p>
    <w:p w14:paraId="729A71B8">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3.预算金额：95.5万元/年</w:t>
      </w:r>
    </w:p>
    <w:p w14:paraId="45512CCB">
      <w:pPr>
        <w:pageBreakBefore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0000FF"/>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0000FF"/>
          <w:sz w:val="24"/>
          <w:szCs w:val="24"/>
          <w:highlight w:val="none"/>
        </w:rPr>
        <w:t>本项目</w:t>
      </w:r>
      <w:r>
        <w:rPr>
          <w:rFonts w:hint="eastAsia" w:ascii="宋体" w:hAnsi="宋体" w:eastAsia="宋体" w:cs="宋体"/>
          <w:color w:val="0000FF"/>
          <w:sz w:val="24"/>
          <w:szCs w:val="24"/>
          <w:highlight w:val="none"/>
          <w:u w:val="single"/>
        </w:rPr>
        <w:t xml:space="preserve"> 设定 </w:t>
      </w:r>
      <w:r>
        <w:rPr>
          <w:rFonts w:hint="eastAsia" w:ascii="宋体" w:hAnsi="宋体" w:eastAsia="宋体" w:cs="宋体"/>
          <w:color w:val="0000FF"/>
          <w:sz w:val="24"/>
          <w:szCs w:val="24"/>
          <w:highlight w:val="none"/>
        </w:rPr>
        <w:t>最高限价，最高限价</w:t>
      </w:r>
      <w:r>
        <w:rPr>
          <w:rFonts w:hint="eastAsia" w:ascii="宋体" w:hAnsi="宋体" w:cs="宋体"/>
          <w:color w:val="0000FF"/>
          <w:sz w:val="24"/>
          <w:szCs w:val="24"/>
          <w:highlight w:val="none"/>
          <w:lang w:eastAsia="zh-CN"/>
        </w:rPr>
        <w:t>：本项目执行类别补助标准，不议价，在投标文件制作时，只需要单价报价，在</w:t>
      </w:r>
      <w:r>
        <w:rPr>
          <w:rFonts w:hint="eastAsia" w:ascii="宋体" w:hAnsi="宋体" w:cs="宋体"/>
          <w:color w:val="0000FF"/>
          <w:sz w:val="24"/>
          <w:szCs w:val="24"/>
          <w:highlight w:val="none"/>
          <w:lang w:val="en-US" w:eastAsia="zh-CN"/>
        </w:rPr>
        <w:t>单一来源报价表</w:t>
      </w:r>
      <w:r>
        <w:rPr>
          <w:rFonts w:hint="eastAsia" w:ascii="宋体" w:hAnsi="宋体" w:cs="宋体"/>
          <w:color w:val="0000FF"/>
          <w:sz w:val="24"/>
          <w:szCs w:val="24"/>
          <w:highlight w:val="none"/>
          <w:lang w:eastAsia="zh-CN"/>
        </w:rPr>
        <w:t>中“</w:t>
      </w:r>
      <w:r>
        <w:rPr>
          <w:rFonts w:hint="eastAsia" w:ascii="宋体" w:hAnsi="宋体" w:cs="宋体"/>
          <w:color w:val="0000FF"/>
          <w:sz w:val="24"/>
          <w:szCs w:val="24"/>
          <w:highlight w:val="none"/>
          <w:lang w:val="en-US" w:eastAsia="zh-CN"/>
        </w:rPr>
        <w:t>单</w:t>
      </w:r>
      <w:r>
        <w:rPr>
          <w:rFonts w:hint="eastAsia" w:ascii="宋体" w:hAnsi="宋体" w:cs="宋体"/>
          <w:color w:val="0000FF"/>
          <w:sz w:val="24"/>
          <w:szCs w:val="24"/>
          <w:highlight w:val="none"/>
          <w:lang w:eastAsia="zh-CN"/>
        </w:rPr>
        <w:t>价”统一填入</w:t>
      </w:r>
      <w:r>
        <w:rPr>
          <w:rFonts w:hint="eastAsia" w:ascii="宋体" w:hAnsi="宋体" w:cs="宋体"/>
          <w:color w:val="0000FF"/>
          <w:sz w:val="24"/>
          <w:szCs w:val="24"/>
          <w:highlight w:val="none"/>
          <w:lang w:val="en-US" w:eastAsia="zh-CN"/>
        </w:rPr>
        <w:t>0.5万元。本项目以实际发生的服务进行结算。</w:t>
      </w:r>
    </w:p>
    <w:p w14:paraId="33CE0A5C">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采购需求（简介）：对具有沭阳县户籍，有康复需求和康复意愿，经国内三级医院、县级以上残联指定的残疾评定机构或残疾评定专家组诊断评估有康复训练适应指征的残疾儿童开展基本康复服务，各残疾儿童可在沭阳县残疾人联合会招标选定的沭阳县残疾儿童定点康复服务机构中自主选择相应类别的定点机构进行康复训练。</w:t>
      </w:r>
    </w:p>
    <w:p w14:paraId="6C4E4F26">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.合同履行期限：自合同签订之日起3年（合同一年一签）。   </w:t>
      </w:r>
    </w:p>
    <w:p w14:paraId="3D968F62">
      <w:pPr>
        <w:keepNext/>
        <w:keepLines/>
        <w:pageBreakBefore w:val="0"/>
        <w:kinsoku/>
        <w:wordWrap/>
        <w:overflowPunct/>
        <w:topLinePunct w:val="0"/>
        <w:autoSpaceDE/>
        <w:autoSpaceDN/>
        <w:bidi w:val="0"/>
        <w:adjustRightInd/>
        <w:snapToGrid/>
        <w:spacing w:line="400" w:lineRule="exact"/>
        <w:ind w:firstLine="480" w:firstLineChars="200"/>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联合体参与单一来源采购活动</w:t>
      </w:r>
      <w:r>
        <w:rPr>
          <w:rFonts w:hint="eastAsia" w:ascii="宋体" w:hAnsi="宋体" w:cs="宋体"/>
          <w:color w:val="auto"/>
          <w:sz w:val="24"/>
          <w:szCs w:val="24"/>
          <w:highlight w:val="none"/>
          <w:lang w:eastAsia="zh-CN"/>
        </w:rPr>
        <w:t>。</w:t>
      </w:r>
    </w:p>
    <w:p w14:paraId="6724ED5B">
      <w:pPr>
        <w:keepNext/>
        <w:keepLines/>
        <w:pageBreakBefore w:val="0"/>
        <w:kinsoku/>
        <w:wordWrap/>
        <w:overflowPunct/>
        <w:topLinePunct w:val="0"/>
        <w:autoSpaceDE/>
        <w:autoSpaceDN/>
        <w:bidi w:val="0"/>
        <w:adjustRightInd/>
        <w:snapToGrid/>
        <w:spacing w:line="40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二、合格单一来源供应商资格要求</w:t>
      </w:r>
    </w:p>
    <w:p w14:paraId="14A7EC7F">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（一）通用资格要求</w:t>
      </w:r>
    </w:p>
    <w:p w14:paraId="0464C172">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1.具备《中华人民共和国政府采购法》第二十二条第一款规定的6项条件（按要求提供协商及声明函）；</w:t>
      </w:r>
    </w:p>
    <w:p w14:paraId="20E293D7">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000000"/>
          <w:sz w:val="24"/>
          <w:szCs w:val="24"/>
          <w:lang w:val="en-US" w:eastAsia="zh-CN"/>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11DC9FD9">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3.落实政府采购政策需满足的资格要求：</w:t>
      </w:r>
      <w:r>
        <w:rPr>
          <w:rFonts w:hint="eastAsia" w:ascii="宋体" w:hAnsi="宋体" w:eastAsia="宋体" w:cs="宋体"/>
          <w:color w:val="auto"/>
          <w:sz w:val="24"/>
          <w:szCs w:val="24"/>
          <w:highlight w:val="none"/>
          <w:lang w:val="en-US" w:eastAsia="zh-CN"/>
        </w:rPr>
        <w:t>无</w:t>
      </w:r>
    </w:p>
    <w:p w14:paraId="3052961B">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（二）本项目的特定资格要求</w:t>
      </w:r>
      <w:r>
        <w:rPr>
          <w:rFonts w:hint="eastAsia" w:ascii="宋体" w:hAnsi="宋体" w:cs="宋体"/>
          <w:color w:val="auto"/>
          <w:sz w:val="24"/>
          <w:szCs w:val="24"/>
          <w:highlight w:val="none"/>
          <w:lang w:eastAsia="zh-CN"/>
        </w:rPr>
        <w:t>：</w:t>
      </w:r>
    </w:p>
    <w:p w14:paraId="31D41A59">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FF"/>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000000"/>
          <w:sz w:val="24"/>
          <w:szCs w:val="24"/>
          <w:lang w:val="en-US" w:eastAsia="zh-CN"/>
        </w:rPr>
        <w:t>1.在相关业务主管部门注册，具有独立法人资格，包括事业单位法人资质的医疗机构、教育机构、残疾人康复机构；企业法人资质的服务机构；民办非企业单位法人资质的社会服务机构。业务范围包括残疾儿童康复训练服务等相关内容。</w:t>
      </w:r>
      <w:r>
        <w:rPr>
          <w:rFonts w:hint="eastAsia" w:ascii="宋体" w:hAnsi="宋体" w:eastAsia="宋体" w:cs="宋体"/>
          <w:color w:val="0000FF"/>
          <w:sz w:val="24"/>
          <w:szCs w:val="24"/>
          <w:lang w:val="en-US" w:eastAsia="zh-CN"/>
        </w:rPr>
        <w:t xml:space="preserve"> </w:t>
      </w:r>
    </w:p>
    <w:p w14:paraId="64213E6B">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2.从事医疗康复的视力康复服务机构应取得《医疗机构执业许可证》或《诊所备案证》。 </w:t>
      </w:r>
    </w:p>
    <w:p w14:paraId="04991E51">
      <w:pPr>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3.从事教育康复的视力康复服务机构应取得所属地教育行政部门颁发的办学许可证或有当地特殊教育指导中心确定的公办学校合作开展康教融合服务的协议。</w:t>
      </w:r>
    </w:p>
    <w:p w14:paraId="7B866F53">
      <w:pPr>
        <w:keepNext/>
        <w:keepLines/>
        <w:pageBreakBefore w:val="0"/>
        <w:kinsoku/>
        <w:wordWrap/>
        <w:overflowPunct/>
        <w:topLinePunct w:val="0"/>
        <w:autoSpaceDE/>
        <w:autoSpaceDN/>
        <w:bidi w:val="0"/>
        <w:adjustRightInd/>
        <w:snapToGrid/>
        <w:spacing w:line="40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三、提交响应文件截止时间</w:t>
      </w:r>
    </w:p>
    <w:p w14:paraId="740639E3">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提交响应文件截止时间</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0000FF"/>
          <w:sz w:val="24"/>
          <w:szCs w:val="24"/>
          <w:highlight w:val="none"/>
          <w:u w:val="single"/>
        </w:rPr>
        <w:t>202</w:t>
      </w:r>
      <w:r>
        <w:rPr>
          <w:rFonts w:hint="eastAsia" w:ascii="宋体" w:hAnsi="宋体" w:eastAsia="宋体" w:cs="宋体"/>
          <w:bCs/>
          <w:color w:val="0000FF"/>
          <w:sz w:val="24"/>
          <w:szCs w:val="24"/>
          <w:highlight w:val="none"/>
          <w:u w:val="single"/>
          <w:lang w:val="en-US" w:eastAsia="zh-CN"/>
        </w:rPr>
        <w:t>6</w:t>
      </w:r>
      <w:r>
        <w:rPr>
          <w:rFonts w:hint="eastAsia" w:ascii="宋体" w:hAnsi="宋体" w:eastAsia="宋体" w:cs="宋体"/>
          <w:bCs/>
          <w:color w:val="0000FF"/>
          <w:sz w:val="24"/>
          <w:szCs w:val="24"/>
          <w:highlight w:val="none"/>
          <w:u w:val="single"/>
        </w:rPr>
        <w:t>年</w:t>
      </w:r>
      <w:r>
        <w:rPr>
          <w:rFonts w:hint="eastAsia" w:ascii="宋体" w:hAnsi="宋体" w:cs="宋体"/>
          <w:bCs/>
          <w:color w:val="0000FF"/>
          <w:sz w:val="24"/>
          <w:szCs w:val="24"/>
          <w:highlight w:val="none"/>
          <w:u w:val="single"/>
          <w:lang w:val="en-US" w:eastAsia="zh-CN"/>
        </w:rPr>
        <w:t>5</w:t>
      </w:r>
      <w:r>
        <w:rPr>
          <w:rFonts w:hint="eastAsia" w:ascii="宋体" w:hAnsi="宋体" w:eastAsia="宋体" w:cs="宋体"/>
          <w:bCs/>
          <w:color w:val="0000FF"/>
          <w:sz w:val="24"/>
          <w:szCs w:val="24"/>
          <w:highlight w:val="none"/>
          <w:u w:val="single"/>
        </w:rPr>
        <w:t>月</w:t>
      </w:r>
      <w:r>
        <w:rPr>
          <w:rFonts w:hint="eastAsia" w:ascii="宋体" w:hAnsi="宋体" w:cs="宋体"/>
          <w:bCs/>
          <w:color w:val="0000FF"/>
          <w:sz w:val="24"/>
          <w:szCs w:val="24"/>
          <w:highlight w:val="none"/>
          <w:u w:val="single"/>
          <w:lang w:val="en-US" w:eastAsia="zh-CN"/>
        </w:rPr>
        <w:t>13</w:t>
      </w:r>
      <w:r>
        <w:rPr>
          <w:rFonts w:hint="eastAsia" w:ascii="宋体" w:hAnsi="宋体" w:eastAsia="宋体" w:cs="宋体"/>
          <w:bCs/>
          <w:color w:val="0000FF"/>
          <w:sz w:val="24"/>
          <w:szCs w:val="24"/>
          <w:highlight w:val="none"/>
          <w:u w:val="single"/>
        </w:rPr>
        <w:t>日09点</w:t>
      </w:r>
      <w:r>
        <w:rPr>
          <w:rFonts w:hint="eastAsia" w:ascii="宋体" w:hAnsi="宋体" w:eastAsia="宋体" w:cs="宋体"/>
          <w:bCs/>
          <w:color w:val="0000FF"/>
          <w:sz w:val="24"/>
          <w:szCs w:val="24"/>
          <w:highlight w:val="none"/>
          <w:u w:val="single"/>
          <w:lang w:val="en-US" w:eastAsia="zh-CN"/>
        </w:rPr>
        <w:t>30</w:t>
      </w:r>
      <w:r>
        <w:rPr>
          <w:rFonts w:hint="eastAsia" w:ascii="宋体" w:hAnsi="宋体" w:eastAsia="宋体" w:cs="宋体"/>
          <w:bCs/>
          <w:color w:val="0000FF"/>
          <w:sz w:val="24"/>
          <w:szCs w:val="24"/>
          <w:highlight w:val="none"/>
          <w:u w:val="single"/>
        </w:rPr>
        <w:t>分</w:t>
      </w:r>
      <w:r>
        <w:rPr>
          <w:rFonts w:hint="eastAsia" w:ascii="宋体" w:hAnsi="宋体" w:eastAsia="宋体" w:cs="宋体"/>
          <w:bCs/>
          <w:color w:val="auto"/>
          <w:sz w:val="24"/>
          <w:szCs w:val="24"/>
          <w:highlight w:val="none"/>
        </w:rPr>
        <w:t>（北京时间）。</w:t>
      </w:r>
    </w:p>
    <w:p w14:paraId="62E4C398">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地点：“苏采云”政府采购交易系统网上开标大厅。</w:t>
      </w:r>
    </w:p>
    <w:p w14:paraId="2A3B08DC">
      <w:pPr>
        <w:pageBreakBefore w:val="0"/>
        <w:widowControl/>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四、其他补充事宜</w:t>
      </w:r>
    </w:p>
    <w:p w14:paraId="254EA0B0">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1.财政部门监督电话：</w:t>
      </w:r>
      <w:r>
        <w:rPr>
          <w:rFonts w:hint="eastAsia" w:ascii="宋体" w:hAnsi="宋体" w:eastAsia="宋体" w:cs="宋体"/>
          <w:color w:val="auto"/>
          <w:sz w:val="24"/>
          <w:szCs w:val="24"/>
          <w:highlight w:val="white"/>
        </w:rPr>
        <w:t>0527-83559270</w:t>
      </w:r>
      <w:r>
        <w:rPr>
          <w:rFonts w:hint="eastAsia" w:ascii="宋体" w:hAnsi="宋体" w:eastAsia="宋体" w:cs="宋体"/>
          <w:color w:val="auto"/>
          <w:sz w:val="24"/>
          <w:szCs w:val="24"/>
          <w:highlight w:val="none"/>
        </w:rPr>
        <w:t>。</w:t>
      </w:r>
    </w:p>
    <w:p w14:paraId="309227B4">
      <w:pPr>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2.“CA”数字证书办理：“苏采云”系统目前仅支持“苏采云”系统下的政务CA。省内各地区办理的“苏采云”系统下的政务CA全省通用。宿迁地区CA数字证书办理联系方式：18762803891。</w:t>
      </w:r>
    </w:p>
    <w:p w14:paraId="5BC7B7E4">
      <w:pPr>
        <w:pStyle w:val="185"/>
        <w:pageBreakBefore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3.宿迁地区“苏采云”技术支持客服电话：0527-84363067、0519-86722806。</w:t>
      </w:r>
    </w:p>
    <w:p w14:paraId="0E2C48CD">
      <w:pPr>
        <w:pStyle w:val="185"/>
        <w:pageBreakBefore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z w:val="24"/>
          <w:szCs w:val="24"/>
          <w:highlight w:val="none"/>
          <w:lang w:val="en-US"/>
        </w:rPr>
        <w:t>4.如果供应商通过苏采云系统参与政府采购项目，相关操作手册详见链接：</w:t>
      </w:r>
      <w:r>
        <w:rPr>
          <w:rFonts w:hint="eastAsia" w:ascii="宋体" w:hAnsi="宋体" w:eastAsia="宋体" w:cs="宋体"/>
          <w:color w:val="auto"/>
          <w:spacing w:val="-6"/>
          <w:sz w:val="24"/>
          <w:szCs w:val="24"/>
          <w:highlight w:val="none"/>
          <w:lang w:val="en-US"/>
        </w:rPr>
        <w:fldChar w:fldCharType="begin"/>
      </w:r>
      <w:r>
        <w:rPr>
          <w:rFonts w:hint="eastAsia" w:ascii="宋体" w:hAnsi="宋体" w:eastAsia="宋体" w:cs="宋体"/>
          <w:color w:val="auto"/>
          <w:spacing w:val="-6"/>
          <w:sz w:val="24"/>
          <w:szCs w:val="24"/>
          <w:highlight w:val="none"/>
          <w:lang w:val="en-US"/>
        </w:rPr>
        <w:instrText xml:space="preserve"> HYPERLINK "http://www.ccgp-jiangsu.gov.cn/jiangsu/zlxz/ee/ee3a4bc5a3454aa2b0d9312230633ce9.html。" </w:instrText>
      </w:r>
      <w:r>
        <w:rPr>
          <w:rFonts w:hint="eastAsia" w:ascii="宋体" w:hAnsi="宋体" w:eastAsia="宋体" w:cs="宋体"/>
          <w:color w:val="auto"/>
          <w:spacing w:val="-6"/>
          <w:sz w:val="24"/>
          <w:szCs w:val="24"/>
          <w:highlight w:val="none"/>
          <w:lang w:val="en-US"/>
        </w:rPr>
        <w:fldChar w:fldCharType="separate"/>
      </w:r>
      <w:r>
        <w:rPr>
          <w:rStyle w:val="33"/>
          <w:rFonts w:hint="eastAsia" w:ascii="宋体" w:hAnsi="宋体" w:eastAsia="宋体" w:cs="宋体"/>
          <w:spacing w:val="-6"/>
          <w:sz w:val="24"/>
          <w:szCs w:val="24"/>
          <w:highlight w:val="none"/>
          <w:lang w:val="en-US"/>
        </w:rPr>
        <w:t>http://www.ccgp-jiangsu.gov.cn/jiangsu/zlxz/ee/ee3a4bc5a3454aa2b0d9312230633ce9.html。</w:t>
      </w:r>
      <w:r>
        <w:rPr>
          <w:rFonts w:hint="eastAsia" w:ascii="宋体" w:hAnsi="宋体" w:eastAsia="宋体" w:cs="宋体"/>
          <w:color w:val="auto"/>
          <w:spacing w:val="-6"/>
          <w:sz w:val="24"/>
          <w:szCs w:val="24"/>
          <w:highlight w:val="none"/>
          <w:lang w:val="en-US"/>
        </w:rPr>
        <w:fldChar w:fldCharType="end"/>
      </w:r>
    </w:p>
    <w:p w14:paraId="55403783">
      <w:pPr>
        <w:pStyle w:val="185"/>
        <w:pageBreakBefore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5.现场勘察及答疑：本项目不组织集中勘察及答疑，供应商如对采购需求有疑问，请咨询采购单位联系人。</w:t>
      </w:r>
    </w:p>
    <w:p w14:paraId="0B3E1CFD">
      <w:pPr>
        <w:pageBreakBefore w:val="0"/>
        <w:tabs>
          <w:tab w:val="left" w:pos="90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 本次单一来源采购不收取保证金。</w:t>
      </w:r>
    </w:p>
    <w:p w14:paraId="02CF13BE">
      <w:pPr>
        <w:keepNext/>
        <w:keepLines/>
        <w:pageBreakBefore w:val="0"/>
        <w:kinsoku/>
        <w:wordWrap/>
        <w:overflowPunct/>
        <w:topLinePunct w:val="0"/>
        <w:autoSpaceDE/>
        <w:autoSpaceDN/>
        <w:bidi w:val="0"/>
        <w:adjustRightInd/>
        <w:snapToGrid/>
        <w:spacing w:line="40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本次单一来源采购联系方式</w:t>
      </w:r>
    </w:p>
    <w:p w14:paraId="487C936C">
      <w:pPr>
        <w:pageBreakBefore w:val="0"/>
        <w:widowControl/>
        <w:kinsoku/>
        <w:wordWrap/>
        <w:overflowPunct/>
        <w:topLinePunct w:val="0"/>
        <w:autoSpaceDE/>
        <w:autoSpaceDN/>
        <w:bidi w:val="0"/>
        <w:adjustRightInd/>
        <w:snapToGrid/>
        <w:spacing w:line="400" w:lineRule="exact"/>
        <w:ind w:firstLine="480"/>
        <w:jc w:val="left"/>
        <w:textAlignment w:val="auto"/>
        <w:rPr>
          <w:rFonts w:ascii="宋体" w:hAnsi="宋体"/>
          <w:color w:val="000000"/>
          <w:sz w:val="24"/>
          <w:szCs w:val="24"/>
          <w:highlight w:val="none"/>
        </w:rPr>
      </w:pPr>
      <w:r>
        <w:rPr>
          <w:rFonts w:hint="eastAsia" w:ascii="宋体" w:hAnsi="宋体" w:cs="宋体"/>
          <w:color w:val="000000"/>
          <w:sz w:val="24"/>
          <w:szCs w:val="24"/>
          <w:highlight w:val="none"/>
        </w:rPr>
        <w:t>1.采购人信息</w:t>
      </w:r>
    </w:p>
    <w:p w14:paraId="58BCB151">
      <w:pPr>
        <w:pageBreakBefore w:val="0"/>
        <w:kinsoku/>
        <w:wordWrap/>
        <w:overflowPunct/>
        <w:topLinePunct w:val="0"/>
        <w:autoSpaceDE/>
        <w:autoSpaceDN/>
        <w:bidi w:val="0"/>
        <w:adjustRightInd/>
        <w:snapToGrid/>
        <w:spacing w:line="400" w:lineRule="exact"/>
        <w:ind w:firstLine="480"/>
        <w:jc w:val="left"/>
        <w:textAlignment w:val="auto"/>
        <w:rPr>
          <w:rFonts w:ascii="宋体" w:hAnsi="宋体"/>
          <w:color w:val="000000"/>
          <w:sz w:val="24"/>
          <w:szCs w:val="24"/>
          <w:highlight w:val="none"/>
        </w:rPr>
      </w:pPr>
      <w:r>
        <w:rPr>
          <w:rFonts w:hint="eastAsia" w:ascii="宋体" w:hAnsi="宋体"/>
          <w:color w:val="000000"/>
          <w:sz w:val="24"/>
          <w:szCs w:val="24"/>
          <w:highlight w:val="none"/>
        </w:rPr>
        <w:t>名   称：</w:t>
      </w:r>
      <w:r>
        <w:rPr>
          <w:rFonts w:hint="eastAsia" w:ascii="宋体" w:hAnsi="宋体"/>
          <w:color w:val="000000"/>
          <w:sz w:val="24"/>
          <w:szCs w:val="24"/>
          <w:highlight w:val="none"/>
          <w:lang w:val="en-US" w:eastAsia="zh-CN"/>
        </w:rPr>
        <w:t>沭阳县</w:t>
      </w:r>
      <w:r>
        <w:rPr>
          <w:rFonts w:hint="eastAsia" w:ascii="宋体" w:hAnsi="宋体" w:cs="宋体"/>
          <w:sz w:val="24"/>
          <w:szCs w:val="24"/>
        </w:rPr>
        <w:t>残疾人联合会</w:t>
      </w:r>
    </w:p>
    <w:p w14:paraId="55FD1BCD">
      <w:pPr>
        <w:pageBreakBefore w:val="0"/>
        <w:kinsoku/>
        <w:wordWrap/>
        <w:overflowPunct/>
        <w:topLinePunct w:val="0"/>
        <w:autoSpaceDE/>
        <w:autoSpaceDN/>
        <w:bidi w:val="0"/>
        <w:adjustRightInd/>
        <w:snapToGrid/>
        <w:spacing w:line="400" w:lineRule="exact"/>
        <w:ind w:firstLine="480"/>
        <w:jc w:val="left"/>
        <w:textAlignment w:val="auto"/>
        <w:rPr>
          <w:rFonts w:ascii="宋体" w:hAnsi="宋体"/>
          <w:color w:val="000000"/>
          <w:sz w:val="24"/>
          <w:szCs w:val="24"/>
          <w:highlight w:val="none"/>
        </w:rPr>
      </w:pPr>
      <w:r>
        <w:rPr>
          <w:rFonts w:hint="eastAsia" w:ascii="宋体" w:hAnsi="宋体"/>
          <w:color w:val="000000"/>
          <w:sz w:val="24"/>
          <w:szCs w:val="24"/>
          <w:highlight w:val="none"/>
        </w:rPr>
        <w:t>地   址：宿迁市沭阳县长安路</w:t>
      </w:r>
    </w:p>
    <w:p w14:paraId="1B12DE62">
      <w:pPr>
        <w:pageBreakBefore w:val="0"/>
        <w:kinsoku/>
        <w:wordWrap/>
        <w:overflowPunct/>
        <w:topLinePunct w:val="0"/>
        <w:autoSpaceDE/>
        <w:autoSpaceDN/>
        <w:bidi w:val="0"/>
        <w:adjustRightInd/>
        <w:snapToGrid/>
        <w:spacing w:line="400" w:lineRule="exact"/>
        <w:ind w:firstLine="480"/>
        <w:jc w:val="left"/>
        <w:textAlignment w:val="auto"/>
        <w:rPr>
          <w:rFonts w:ascii="宋体" w:hAnsi="宋体"/>
          <w:color w:val="000000"/>
          <w:sz w:val="24"/>
          <w:szCs w:val="24"/>
          <w:highlight w:val="none"/>
          <w:u w:val="single"/>
        </w:rPr>
      </w:pPr>
      <w:r>
        <w:rPr>
          <w:rFonts w:hint="eastAsia" w:ascii="宋体" w:hAnsi="宋体"/>
          <w:color w:val="000000"/>
          <w:sz w:val="24"/>
          <w:szCs w:val="24"/>
          <w:highlight w:val="none"/>
        </w:rPr>
        <w:t>联系方式：0527-80906665</w:t>
      </w:r>
    </w:p>
    <w:p w14:paraId="15925FAF">
      <w:pPr>
        <w:pageBreakBefore w:val="0"/>
        <w:kinsoku/>
        <w:wordWrap/>
        <w:overflowPunct/>
        <w:topLinePunct w:val="0"/>
        <w:autoSpaceDE/>
        <w:autoSpaceDN/>
        <w:bidi w:val="0"/>
        <w:adjustRightInd/>
        <w:snapToGrid/>
        <w:spacing w:line="400" w:lineRule="exact"/>
        <w:ind w:firstLine="480"/>
        <w:jc w:val="left"/>
        <w:textAlignment w:val="auto"/>
        <w:rPr>
          <w:rFonts w:ascii="宋体" w:hAnsi="宋体"/>
          <w:color w:val="000000"/>
          <w:sz w:val="24"/>
          <w:szCs w:val="24"/>
          <w:highlight w:val="none"/>
        </w:rPr>
      </w:pPr>
      <w:r>
        <w:rPr>
          <w:rFonts w:hint="eastAsia" w:ascii="宋体" w:hAnsi="宋体" w:cs="宋体"/>
          <w:color w:val="000000"/>
          <w:sz w:val="24"/>
          <w:szCs w:val="24"/>
          <w:highlight w:val="none"/>
        </w:rPr>
        <w:t>2.采购代理机构信息</w:t>
      </w:r>
    </w:p>
    <w:p w14:paraId="1CE74FF3">
      <w:pPr>
        <w:pageBreakBefore w:val="0"/>
        <w:kinsoku/>
        <w:wordWrap/>
        <w:overflowPunct/>
        <w:topLinePunct w:val="0"/>
        <w:autoSpaceDE/>
        <w:autoSpaceDN/>
        <w:bidi w:val="0"/>
        <w:adjustRightInd/>
        <w:snapToGrid/>
        <w:spacing w:line="400" w:lineRule="exact"/>
        <w:ind w:firstLine="482"/>
        <w:textAlignment w:val="auto"/>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名</w:t>
      </w:r>
      <w:r>
        <w:rPr>
          <w:rFonts w:hint="eastAsia" w:ascii="Times New Roman" w:hAnsi="Times New Roman" w:eastAsia="宋体" w:cs="仿宋"/>
          <w:color w:val="000000"/>
          <w:sz w:val="24"/>
          <w:szCs w:val="24"/>
          <w:highlight w:val="none"/>
        </w:rPr>
        <w:t>称：</w:t>
      </w:r>
      <w:r>
        <w:rPr>
          <w:rFonts w:hint="eastAsia" w:ascii="Times New Roman" w:hAnsi="Times New Roman" w:eastAsia="宋体" w:cs="Times New Roman"/>
          <w:color w:val="000000"/>
          <w:sz w:val="24"/>
          <w:highlight w:val="white"/>
        </w:rPr>
        <w:t>江苏仟亿项目管理有限公司</w:t>
      </w:r>
    </w:p>
    <w:p w14:paraId="6C8EE0A2">
      <w:pPr>
        <w:pageBreakBefore w:val="0"/>
        <w:kinsoku/>
        <w:wordWrap/>
        <w:overflowPunct/>
        <w:topLinePunct w:val="0"/>
        <w:autoSpaceDE/>
        <w:autoSpaceDN/>
        <w:bidi w:val="0"/>
        <w:adjustRightInd/>
        <w:snapToGrid/>
        <w:spacing w:line="400" w:lineRule="exact"/>
        <w:ind w:firstLine="482"/>
        <w:textAlignment w:val="auto"/>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地</w:t>
      </w:r>
      <w:r>
        <w:rPr>
          <w:rFonts w:hint="eastAsia" w:ascii="Times New Roman" w:hAnsi="Times New Roman" w:eastAsia="宋体" w:cs="仿宋"/>
          <w:color w:val="000000"/>
          <w:sz w:val="24"/>
          <w:szCs w:val="24"/>
          <w:highlight w:val="none"/>
        </w:rPr>
        <w:t>址：</w:t>
      </w:r>
      <w:r>
        <w:rPr>
          <w:rFonts w:hint="eastAsia" w:ascii="Times New Roman" w:hAnsi="Times New Roman" w:eastAsia="宋体" w:cs="Times New Roman"/>
          <w:color w:val="000000"/>
          <w:sz w:val="24"/>
          <w:highlight w:val="white"/>
        </w:rPr>
        <w:t>沭阳县大连东路105号（豪园北门东侧）</w:t>
      </w:r>
    </w:p>
    <w:p w14:paraId="355B5806">
      <w:pPr>
        <w:pageBreakBefore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cs="宋体"/>
          <w:b/>
          <w:bCs/>
          <w:color w:val="auto"/>
          <w:sz w:val="28"/>
          <w:szCs w:val="28"/>
          <w:highlight w:val="none"/>
          <w:lang w:eastAsia="zh-CN"/>
        </w:rPr>
      </w:pPr>
      <w:r>
        <w:rPr>
          <w:rFonts w:hint="eastAsia" w:ascii="Times New Roman" w:hAnsi="Times New Roman" w:eastAsia="宋体" w:cs="仿宋"/>
          <w:color w:val="000000"/>
          <w:sz w:val="24"/>
          <w:szCs w:val="24"/>
          <w:highlight w:val="none"/>
        </w:rPr>
        <w:t>联系方式：</w:t>
      </w:r>
      <w:r>
        <w:rPr>
          <w:rFonts w:hint="eastAsia" w:ascii="宋体" w:hAnsi="宋体" w:cs="宋体"/>
          <w:color w:val="000000"/>
          <w:sz w:val="24"/>
          <w:szCs w:val="24"/>
          <w:highlight w:val="none"/>
        </w:rPr>
        <w:t>13365152227</w:t>
      </w:r>
    </w:p>
    <w:p w14:paraId="032ADBA3">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p>
    <w:p w14:paraId="55C2E606">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p>
    <w:p w14:paraId="09D8C4C0">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p>
    <w:p w14:paraId="0E914A5D">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p>
    <w:p w14:paraId="0CF336C7">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p>
    <w:p w14:paraId="776479DB">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采购包2：</w:t>
      </w:r>
      <w:r>
        <w:rPr>
          <w:rFonts w:hint="eastAsia" w:ascii="宋体" w:hAnsi="宋体" w:cs="宋体"/>
          <w:b/>
          <w:bCs/>
          <w:color w:val="auto"/>
          <w:sz w:val="28"/>
          <w:szCs w:val="28"/>
          <w:highlight w:val="none"/>
          <w:lang w:eastAsia="zh-CN"/>
        </w:rPr>
        <w:t>沭阳县2026-2028年残疾儿童基本康复服务--听力言语</w:t>
      </w:r>
    </w:p>
    <w:p w14:paraId="5EBBDDBF">
      <w:pPr>
        <w:pageBreakBefore w:val="0"/>
        <w:kinsoku/>
        <w:wordWrap/>
        <w:overflowPunct/>
        <w:topLinePunct w:val="0"/>
        <w:autoSpaceDE/>
        <w:autoSpaceDN/>
        <w:bidi w:val="0"/>
        <w:adjustRightInd/>
        <w:snapToGrid/>
        <w:spacing w:line="460" w:lineRule="exact"/>
        <w:jc w:val="center"/>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康复服务机构采购项目</w:t>
      </w:r>
    </w:p>
    <w:p w14:paraId="318F5669">
      <w:pPr>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沭阳县启聪儿童康复中心</w:t>
      </w:r>
      <w:r>
        <w:rPr>
          <w:rFonts w:hint="eastAsia" w:ascii="宋体" w:hAnsi="宋体" w:eastAsia="宋体" w:cs="宋体"/>
          <w:b w:val="0"/>
          <w:bCs w:val="0"/>
          <w:color w:val="auto"/>
          <w:sz w:val="24"/>
          <w:szCs w:val="24"/>
          <w:highlight w:val="none"/>
        </w:rPr>
        <w:t>：</w:t>
      </w:r>
    </w:p>
    <w:p w14:paraId="73F637A7">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受沭阳县残疾人联合会的委托，</w:t>
      </w:r>
      <w:r>
        <w:rPr>
          <w:rFonts w:hint="eastAsia" w:ascii="宋体" w:hAnsi="宋体" w:cs="宋体"/>
          <w:color w:val="auto"/>
          <w:sz w:val="24"/>
          <w:szCs w:val="24"/>
          <w:lang w:eastAsia="zh-CN"/>
        </w:rPr>
        <w:t>江苏仟亿项目管理有限公司</w:t>
      </w:r>
      <w:r>
        <w:rPr>
          <w:rFonts w:hint="eastAsia" w:ascii="宋体" w:hAnsi="宋体" w:eastAsia="宋体" w:cs="宋体"/>
          <w:b w:val="0"/>
          <w:bCs w:val="0"/>
          <w:color w:val="auto"/>
          <w:sz w:val="24"/>
          <w:szCs w:val="24"/>
          <w:highlight w:val="none"/>
        </w:rPr>
        <w:t>就</w:t>
      </w:r>
      <w:r>
        <w:rPr>
          <w:rFonts w:hint="eastAsia" w:ascii="宋体" w:hAnsi="宋体" w:cs="宋体"/>
          <w:b w:val="0"/>
          <w:bCs w:val="0"/>
          <w:color w:val="auto"/>
          <w:sz w:val="24"/>
          <w:szCs w:val="24"/>
          <w:highlight w:val="none"/>
          <w:lang w:eastAsia="zh-CN"/>
        </w:rPr>
        <w:t>沭阳县2026-2028年残疾儿童基本康复服务--听力言语康复服务机构采购项目</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 xml:space="preserve"> JSZC-321322-QYXM-D2026-0004 </w:t>
      </w:r>
      <w:r>
        <w:rPr>
          <w:rFonts w:hint="eastAsia" w:ascii="宋体" w:hAnsi="宋体" w:eastAsia="宋体" w:cs="宋体"/>
          <w:b w:val="0"/>
          <w:bCs w:val="0"/>
          <w:color w:val="auto"/>
          <w:sz w:val="24"/>
          <w:szCs w:val="24"/>
          <w:highlight w:val="none"/>
        </w:rPr>
        <w:t>)项目进行单一来源采购，欢迎贵单位前来参与本次洽谈。</w:t>
      </w:r>
    </w:p>
    <w:p w14:paraId="7F1790B5">
      <w:pPr>
        <w:keepNext/>
        <w:keepLines/>
        <w:pageBreakBefore w:val="0"/>
        <w:widowControl w:val="0"/>
        <w:kinsoku/>
        <w:wordWrap/>
        <w:overflowPunct/>
        <w:topLinePunct w:val="0"/>
        <w:autoSpaceDE/>
        <w:autoSpaceDN/>
        <w:bidi w:val="0"/>
        <w:adjustRightInd/>
        <w:snapToGrid/>
        <w:spacing w:line="46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bookmarkEnd w:id="6"/>
      <w:bookmarkEnd w:id="7"/>
      <w:bookmarkEnd w:id="8"/>
      <w:bookmarkEnd w:id="9"/>
      <w:bookmarkEnd w:id="10"/>
    </w:p>
    <w:p w14:paraId="2C2BD852">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1.项目编号</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JSZC-321322-QYXM-D2026-0004</w:t>
      </w:r>
    </w:p>
    <w:p w14:paraId="76EB9F9B">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2.项目名称：</w:t>
      </w:r>
      <w:bookmarkEnd w:id="11"/>
      <w:r>
        <w:rPr>
          <w:rFonts w:hint="eastAsia" w:ascii="宋体" w:hAnsi="宋体" w:cs="宋体"/>
          <w:b w:val="0"/>
          <w:bCs w:val="0"/>
          <w:color w:val="auto"/>
          <w:sz w:val="24"/>
          <w:szCs w:val="24"/>
          <w:highlight w:val="none"/>
          <w:lang w:eastAsia="zh-CN"/>
        </w:rPr>
        <w:t>沭阳县2026-2028年残疾儿童基本康复服务--听力言语康复服务机构采购项目</w:t>
      </w:r>
    </w:p>
    <w:p w14:paraId="6B8FC177">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3.预算金额：97.6万元/年</w:t>
      </w:r>
    </w:p>
    <w:p w14:paraId="3E2EC0C2">
      <w:pPr>
        <w:pageBreakBefore w:val="0"/>
        <w:kinsoku/>
        <w:wordWrap/>
        <w:overflowPunct/>
        <w:topLinePunct w:val="0"/>
        <w:autoSpaceDE/>
        <w:autoSpaceDN/>
        <w:bidi w:val="0"/>
        <w:adjustRightInd/>
        <w:snapToGrid/>
        <w:spacing w:line="460" w:lineRule="exact"/>
        <w:ind w:firstLine="480" w:firstLineChars="200"/>
        <w:textAlignment w:val="auto"/>
        <w:rPr>
          <w:rFonts w:hint="default" w:ascii="宋体" w:hAnsi="宋体" w:cs="宋体"/>
          <w:color w:val="0000FF"/>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0000FF"/>
          <w:sz w:val="24"/>
          <w:szCs w:val="24"/>
          <w:highlight w:val="none"/>
        </w:rPr>
        <w:t>本项目</w:t>
      </w:r>
      <w:r>
        <w:rPr>
          <w:rFonts w:hint="eastAsia" w:ascii="宋体" w:hAnsi="宋体" w:eastAsia="宋体" w:cs="宋体"/>
          <w:color w:val="0000FF"/>
          <w:sz w:val="24"/>
          <w:szCs w:val="24"/>
          <w:highlight w:val="none"/>
          <w:u w:val="single"/>
        </w:rPr>
        <w:t xml:space="preserve"> 设定 </w:t>
      </w:r>
      <w:r>
        <w:rPr>
          <w:rFonts w:hint="eastAsia" w:ascii="宋体" w:hAnsi="宋体" w:eastAsia="宋体" w:cs="宋体"/>
          <w:color w:val="0000FF"/>
          <w:sz w:val="24"/>
          <w:szCs w:val="24"/>
          <w:highlight w:val="none"/>
        </w:rPr>
        <w:t>最高限价，最高限价</w:t>
      </w:r>
      <w:r>
        <w:rPr>
          <w:rFonts w:hint="eastAsia" w:ascii="宋体" w:hAnsi="宋体" w:cs="宋体"/>
          <w:color w:val="0000FF"/>
          <w:sz w:val="24"/>
          <w:szCs w:val="24"/>
          <w:highlight w:val="none"/>
          <w:lang w:eastAsia="zh-CN"/>
        </w:rPr>
        <w:t>：本项目执行类别补助标准，</w:t>
      </w:r>
      <w:r>
        <w:rPr>
          <w:rFonts w:hint="eastAsia"/>
          <w:color w:val="auto"/>
          <w:sz w:val="24"/>
          <w:szCs w:val="24"/>
          <w:highlight w:val="none"/>
        </w:rPr>
        <w:t>不议价，在投标文件制作时，</w:t>
      </w:r>
      <w:r>
        <w:rPr>
          <w:rFonts w:hint="eastAsia" w:ascii="宋体" w:hAnsi="宋体" w:cs="宋体"/>
          <w:color w:val="0000FF"/>
          <w:sz w:val="24"/>
          <w:szCs w:val="24"/>
          <w:highlight w:val="none"/>
          <w:lang w:eastAsia="zh-CN"/>
        </w:rPr>
        <w:t>只需要单价报价，在</w:t>
      </w:r>
      <w:r>
        <w:rPr>
          <w:rFonts w:hint="eastAsia" w:ascii="宋体" w:hAnsi="宋体" w:cs="宋体"/>
          <w:color w:val="0000FF"/>
          <w:sz w:val="24"/>
          <w:szCs w:val="24"/>
          <w:highlight w:val="none"/>
          <w:lang w:val="en-US" w:eastAsia="zh-CN"/>
        </w:rPr>
        <w:t>单一来源报价表</w:t>
      </w:r>
      <w:r>
        <w:rPr>
          <w:rFonts w:hint="eastAsia" w:ascii="宋体" w:hAnsi="宋体" w:cs="宋体"/>
          <w:color w:val="0000FF"/>
          <w:sz w:val="24"/>
          <w:szCs w:val="24"/>
          <w:highlight w:val="none"/>
          <w:lang w:eastAsia="zh-CN"/>
        </w:rPr>
        <w:t>中“</w:t>
      </w:r>
      <w:r>
        <w:rPr>
          <w:rFonts w:hint="eastAsia" w:ascii="宋体" w:hAnsi="宋体" w:cs="宋体"/>
          <w:color w:val="0000FF"/>
          <w:sz w:val="24"/>
          <w:szCs w:val="24"/>
          <w:highlight w:val="none"/>
          <w:lang w:val="en-US" w:eastAsia="zh-CN"/>
        </w:rPr>
        <w:t>单</w:t>
      </w:r>
      <w:r>
        <w:rPr>
          <w:rFonts w:hint="eastAsia" w:ascii="宋体" w:hAnsi="宋体" w:cs="宋体"/>
          <w:color w:val="0000FF"/>
          <w:sz w:val="24"/>
          <w:szCs w:val="24"/>
          <w:highlight w:val="none"/>
          <w:lang w:eastAsia="zh-CN"/>
        </w:rPr>
        <w:t>价”统一填入</w:t>
      </w:r>
      <w:r>
        <w:rPr>
          <w:rFonts w:hint="eastAsia" w:ascii="宋体" w:hAnsi="宋体" w:cs="宋体"/>
          <w:color w:val="0000FF"/>
          <w:sz w:val="24"/>
          <w:szCs w:val="24"/>
          <w:highlight w:val="none"/>
          <w:lang w:val="en-US" w:eastAsia="zh-CN"/>
        </w:rPr>
        <w:t>1.6万元。本项目以实际发生的服务进行结算。</w:t>
      </w:r>
    </w:p>
    <w:p w14:paraId="7C2323E2">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采购需求（简介）：对具有沭阳县户籍，有康复需求和康复意愿，经国内三级医院、县级以上残联指定的残疾评定机构或残疾评定专家组诊断评估有康复训练适应指征的残疾儿童开展基本康复服务，各残疾儿童可在沭阳县残疾人联合会招标选定的沭阳县残疾儿童定点康复服务机构中自主选择相应类别的定点机构进行康复训练。</w:t>
      </w:r>
    </w:p>
    <w:p w14:paraId="557A7A0E">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.合同履行期限：</w:t>
      </w:r>
      <w:bookmarkStart w:id="12" w:name="_Toc35393622"/>
      <w:bookmarkStart w:id="13" w:name="_Toc28359080"/>
      <w:bookmarkStart w:id="14" w:name="_Toc28359003"/>
      <w:bookmarkStart w:id="15" w:name="_Toc38985264"/>
      <w:bookmarkStart w:id="16" w:name="_Toc35393791"/>
      <w:r>
        <w:rPr>
          <w:rFonts w:hint="eastAsia" w:ascii="宋体" w:hAnsi="宋体" w:eastAsia="宋体" w:cs="宋体"/>
          <w:color w:val="auto"/>
          <w:sz w:val="24"/>
          <w:szCs w:val="24"/>
          <w:highlight w:val="none"/>
        </w:rPr>
        <w:t xml:space="preserve">自合同签订之日起3年（合同一年一签）。   </w:t>
      </w:r>
    </w:p>
    <w:p w14:paraId="3F585B6E">
      <w:pPr>
        <w:keepNext/>
        <w:keepLines/>
        <w:pageBreakBefore w:val="0"/>
        <w:kinsoku/>
        <w:wordWrap/>
        <w:overflowPunct/>
        <w:topLinePunct w:val="0"/>
        <w:autoSpaceDE/>
        <w:autoSpaceDN/>
        <w:bidi w:val="0"/>
        <w:adjustRightInd/>
        <w:snapToGrid/>
        <w:spacing w:line="460" w:lineRule="exact"/>
        <w:ind w:firstLine="480" w:firstLineChars="200"/>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联合体参与单一来源采购活动</w:t>
      </w:r>
      <w:r>
        <w:rPr>
          <w:rFonts w:hint="eastAsia" w:ascii="宋体" w:hAnsi="宋体" w:cs="宋体"/>
          <w:color w:val="auto"/>
          <w:sz w:val="24"/>
          <w:szCs w:val="24"/>
          <w:highlight w:val="none"/>
          <w:lang w:eastAsia="zh-CN"/>
        </w:rPr>
        <w:t>。</w:t>
      </w:r>
    </w:p>
    <w:p w14:paraId="32BA3091">
      <w:pPr>
        <w:keepNext/>
        <w:keepLines/>
        <w:pageBreakBefore w:val="0"/>
        <w:kinsoku/>
        <w:wordWrap/>
        <w:overflowPunct/>
        <w:topLinePunct w:val="0"/>
        <w:autoSpaceDE/>
        <w:autoSpaceDN/>
        <w:bidi w:val="0"/>
        <w:adjustRightInd/>
        <w:snapToGrid/>
        <w:spacing w:line="46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bookmarkEnd w:id="12"/>
      <w:bookmarkEnd w:id="13"/>
      <w:bookmarkEnd w:id="14"/>
      <w:bookmarkEnd w:id="15"/>
      <w:bookmarkEnd w:id="16"/>
      <w:r>
        <w:rPr>
          <w:rFonts w:hint="eastAsia" w:ascii="宋体" w:hAnsi="宋体" w:eastAsia="宋体" w:cs="宋体"/>
          <w:b/>
          <w:bCs/>
          <w:color w:val="auto"/>
          <w:sz w:val="24"/>
          <w:szCs w:val="24"/>
          <w:highlight w:val="none"/>
        </w:rPr>
        <w:t>合格单一来源供应商资格要求</w:t>
      </w:r>
    </w:p>
    <w:p w14:paraId="5C328CAE">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bookmarkStart w:id="17" w:name="_Toc28359081"/>
      <w:bookmarkStart w:id="18" w:name="_Toc38985265"/>
      <w:bookmarkStart w:id="19" w:name="_Toc35393792"/>
      <w:bookmarkStart w:id="20" w:name="_Toc35393623"/>
      <w:bookmarkStart w:id="21" w:name="_Toc28359004"/>
      <w:r>
        <w:rPr>
          <w:rFonts w:hint="eastAsia" w:ascii="宋体" w:hAnsi="宋体" w:eastAsia="宋体" w:cs="宋体"/>
          <w:color w:val="auto"/>
          <w:sz w:val="24"/>
          <w:szCs w:val="24"/>
          <w:highlight w:val="none"/>
        </w:rPr>
        <w:t>（一）通用资格要求</w:t>
      </w:r>
    </w:p>
    <w:p w14:paraId="3384EB2C">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1.具备《中华人民共和国政府采购法》第二十二条第一款规定的6项条件（按要求提供协商及声明函）；</w:t>
      </w:r>
    </w:p>
    <w:p w14:paraId="7FB5B744">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000000"/>
          <w:sz w:val="24"/>
          <w:szCs w:val="24"/>
          <w:lang w:val="en-US" w:eastAsia="zh-CN"/>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589D8084">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bookmarkStart w:id="22" w:name="OLE_LINK7"/>
      <w:r>
        <w:rPr>
          <w:rFonts w:hint="eastAsia" w:ascii="宋体" w:hAnsi="宋体" w:eastAsia="宋体" w:cs="宋体"/>
          <w:color w:val="auto"/>
          <w:sz w:val="24"/>
          <w:szCs w:val="24"/>
          <w:highlight w:val="none"/>
        </w:rPr>
        <w:t>落实政府采购政策需满足的资格要求</w:t>
      </w:r>
      <w:bookmarkEnd w:id="2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无</w:t>
      </w:r>
    </w:p>
    <w:p w14:paraId="249AC95C">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w:t>
      </w:r>
      <w:bookmarkStart w:id="23" w:name="OLE_LINK8"/>
      <w:r>
        <w:rPr>
          <w:rFonts w:hint="eastAsia" w:ascii="宋体" w:hAnsi="宋体" w:eastAsia="宋体" w:cs="宋体"/>
          <w:color w:val="auto"/>
          <w:sz w:val="24"/>
          <w:szCs w:val="24"/>
          <w:highlight w:val="none"/>
        </w:rPr>
        <w:t>本项目的特定资格要求</w:t>
      </w:r>
      <w:bookmarkEnd w:id="17"/>
      <w:bookmarkEnd w:id="18"/>
      <w:bookmarkEnd w:id="19"/>
      <w:bookmarkEnd w:id="20"/>
      <w:bookmarkEnd w:id="21"/>
      <w:bookmarkEnd w:id="23"/>
      <w:r>
        <w:rPr>
          <w:rFonts w:hint="eastAsia" w:ascii="宋体" w:hAnsi="宋体" w:cs="宋体"/>
          <w:color w:val="auto"/>
          <w:sz w:val="24"/>
          <w:szCs w:val="24"/>
          <w:highlight w:val="none"/>
          <w:lang w:eastAsia="zh-CN"/>
        </w:rPr>
        <w:t>：</w:t>
      </w:r>
    </w:p>
    <w:p w14:paraId="1E4508AD">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bookmarkStart w:id="24" w:name="_Toc28359005"/>
      <w:bookmarkStart w:id="25" w:name="_Toc28359082"/>
      <w:bookmarkStart w:id="26" w:name="_Toc35393793"/>
      <w:bookmarkStart w:id="27" w:name="_Toc38985266"/>
      <w:bookmarkStart w:id="28" w:name="_Toc35393624"/>
      <w:r>
        <w:rPr>
          <w:rFonts w:hint="eastAsia" w:ascii="宋体" w:hAnsi="宋体" w:eastAsia="宋体" w:cs="宋体"/>
          <w:color w:val="auto"/>
          <w:sz w:val="24"/>
          <w:szCs w:val="24"/>
          <w:highlight w:val="none"/>
          <w:lang w:val="en-US" w:eastAsia="zh-CN"/>
        </w:rPr>
        <w:t>1.在相关业务主管部门注册，具有独立法人资格，包括事业单位法人资质的医疗机构、教育机构、残疾人康复机构；企业法人资质的服务机构；民办非企业单位法人资质的社会服务机构。业务范围包括残疾儿童康复训练服务等相关内容。</w:t>
      </w:r>
    </w:p>
    <w:p w14:paraId="75CCC844">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highlight w:val="none"/>
          <w:lang w:val="en-US" w:eastAsia="zh-CN"/>
        </w:rPr>
        <w:t>2.应有所属地教育行政部门颁发的办学许可证或有当地特殊教育指导中心确定的公办学校合作开展康教融合服务的协议。</w:t>
      </w:r>
    </w:p>
    <w:p w14:paraId="7F4EB368">
      <w:pPr>
        <w:keepNext/>
        <w:keepLines/>
        <w:pageBreakBefore w:val="0"/>
        <w:kinsoku/>
        <w:wordWrap/>
        <w:overflowPunct/>
        <w:topLinePunct w:val="0"/>
        <w:autoSpaceDE/>
        <w:autoSpaceDN/>
        <w:bidi w:val="0"/>
        <w:adjustRightInd/>
        <w:snapToGrid/>
        <w:spacing w:line="46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三、提交</w:t>
      </w:r>
      <w:bookmarkEnd w:id="24"/>
      <w:bookmarkEnd w:id="25"/>
      <w:r>
        <w:rPr>
          <w:rFonts w:hint="eastAsia" w:ascii="宋体" w:hAnsi="宋体" w:eastAsia="宋体" w:cs="宋体"/>
          <w:b/>
          <w:bCs/>
          <w:color w:val="auto"/>
          <w:sz w:val="24"/>
          <w:szCs w:val="24"/>
          <w:highlight w:val="none"/>
        </w:rPr>
        <w:t>响应文件截止时间</w:t>
      </w:r>
      <w:bookmarkEnd w:id="26"/>
      <w:bookmarkEnd w:id="27"/>
      <w:bookmarkEnd w:id="28"/>
    </w:p>
    <w:p w14:paraId="0ADE2E0A">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提交响应文件截止时间</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0000FF"/>
          <w:sz w:val="24"/>
          <w:szCs w:val="24"/>
          <w:highlight w:val="none"/>
          <w:u w:val="single"/>
        </w:rPr>
        <w:t>202</w:t>
      </w:r>
      <w:r>
        <w:rPr>
          <w:rFonts w:hint="eastAsia" w:ascii="宋体" w:hAnsi="宋体" w:eastAsia="宋体" w:cs="宋体"/>
          <w:bCs/>
          <w:color w:val="0000FF"/>
          <w:sz w:val="24"/>
          <w:szCs w:val="24"/>
          <w:highlight w:val="none"/>
          <w:u w:val="single"/>
          <w:lang w:val="en-US" w:eastAsia="zh-CN"/>
        </w:rPr>
        <w:t>6</w:t>
      </w:r>
      <w:r>
        <w:rPr>
          <w:rFonts w:hint="eastAsia" w:ascii="宋体" w:hAnsi="宋体" w:eastAsia="宋体" w:cs="宋体"/>
          <w:bCs/>
          <w:color w:val="0000FF"/>
          <w:sz w:val="24"/>
          <w:szCs w:val="24"/>
          <w:highlight w:val="none"/>
          <w:u w:val="single"/>
        </w:rPr>
        <w:t>年</w:t>
      </w:r>
      <w:r>
        <w:rPr>
          <w:rFonts w:hint="eastAsia" w:ascii="宋体" w:hAnsi="宋体" w:cs="宋体"/>
          <w:bCs/>
          <w:color w:val="0000FF"/>
          <w:sz w:val="24"/>
          <w:szCs w:val="24"/>
          <w:highlight w:val="none"/>
          <w:u w:val="single"/>
          <w:lang w:val="en-US" w:eastAsia="zh-CN"/>
        </w:rPr>
        <w:t>5</w:t>
      </w:r>
      <w:r>
        <w:rPr>
          <w:rFonts w:hint="eastAsia" w:ascii="宋体" w:hAnsi="宋体" w:eastAsia="宋体" w:cs="宋体"/>
          <w:bCs/>
          <w:color w:val="0000FF"/>
          <w:sz w:val="24"/>
          <w:szCs w:val="24"/>
          <w:highlight w:val="none"/>
          <w:u w:val="single"/>
        </w:rPr>
        <w:t>月</w:t>
      </w:r>
      <w:r>
        <w:rPr>
          <w:rFonts w:hint="eastAsia" w:ascii="宋体" w:hAnsi="宋体" w:cs="宋体"/>
          <w:bCs/>
          <w:color w:val="0000FF"/>
          <w:sz w:val="24"/>
          <w:szCs w:val="24"/>
          <w:highlight w:val="none"/>
          <w:u w:val="single"/>
          <w:lang w:val="en-US" w:eastAsia="zh-CN"/>
        </w:rPr>
        <w:t>13</w:t>
      </w:r>
      <w:r>
        <w:rPr>
          <w:rFonts w:hint="eastAsia" w:ascii="宋体" w:hAnsi="宋体" w:eastAsia="宋体" w:cs="宋体"/>
          <w:bCs/>
          <w:color w:val="0000FF"/>
          <w:sz w:val="24"/>
          <w:szCs w:val="24"/>
          <w:highlight w:val="none"/>
          <w:u w:val="single"/>
        </w:rPr>
        <w:t>日09点</w:t>
      </w:r>
      <w:r>
        <w:rPr>
          <w:rFonts w:hint="eastAsia" w:ascii="宋体" w:hAnsi="宋体" w:eastAsia="宋体" w:cs="宋体"/>
          <w:bCs/>
          <w:color w:val="0000FF"/>
          <w:sz w:val="24"/>
          <w:szCs w:val="24"/>
          <w:highlight w:val="none"/>
          <w:u w:val="single"/>
          <w:lang w:val="en-US" w:eastAsia="zh-CN"/>
        </w:rPr>
        <w:t>30</w:t>
      </w:r>
      <w:r>
        <w:rPr>
          <w:rFonts w:hint="eastAsia" w:ascii="宋体" w:hAnsi="宋体" w:eastAsia="宋体" w:cs="宋体"/>
          <w:bCs/>
          <w:color w:val="0000FF"/>
          <w:sz w:val="24"/>
          <w:szCs w:val="24"/>
          <w:highlight w:val="none"/>
          <w:u w:val="single"/>
        </w:rPr>
        <w:t>分</w:t>
      </w:r>
      <w:r>
        <w:rPr>
          <w:rFonts w:hint="eastAsia" w:ascii="宋体" w:hAnsi="宋体" w:eastAsia="宋体" w:cs="宋体"/>
          <w:bCs/>
          <w:color w:val="auto"/>
          <w:sz w:val="24"/>
          <w:szCs w:val="24"/>
          <w:highlight w:val="none"/>
        </w:rPr>
        <w:t>（北京时间）。</w:t>
      </w:r>
    </w:p>
    <w:p w14:paraId="1BA3D481">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地点：“苏采云”政府采购交易系统网上开标大厅。</w:t>
      </w:r>
    </w:p>
    <w:p w14:paraId="0331FC30">
      <w:pPr>
        <w:pageBreakBefore w:val="0"/>
        <w:widowControl/>
        <w:kinsoku/>
        <w:wordWrap/>
        <w:overflowPunct/>
        <w:topLinePunct w:val="0"/>
        <w:autoSpaceDE/>
        <w:autoSpaceDN/>
        <w:bidi w:val="0"/>
        <w:adjustRightInd/>
        <w:snapToGrid/>
        <w:spacing w:line="460" w:lineRule="exact"/>
        <w:ind w:firstLine="482" w:firstLineChars="200"/>
        <w:jc w:val="left"/>
        <w:textAlignment w:val="auto"/>
        <w:rPr>
          <w:rFonts w:hint="eastAsia" w:ascii="宋体" w:hAnsi="宋体" w:eastAsia="宋体" w:cs="宋体"/>
          <w:b/>
          <w:bCs/>
          <w:color w:val="auto"/>
          <w:sz w:val="24"/>
          <w:szCs w:val="24"/>
          <w:highlight w:val="none"/>
        </w:rPr>
      </w:pPr>
      <w:bookmarkStart w:id="29" w:name="_Toc38985269"/>
      <w:bookmarkStart w:id="30" w:name="_Toc28359008"/>
      <w:bookmarkStart w:id="31" w:name="_Toc28359085"/>
      <w:bookmarkStart w:id="32" w:name="_Toc35393627"/>
      <w:bookmarkStart w:id="33" w:name="_Toc35393796"/>
      <w:r>
        <w:rPr>
          <w:rFonts w:hint="eastAsia" w:ascii="宋体" w:hAnsi="宋体" w:eastAsia="宋体" w:cs="宋体"/>
          <w:b/>
          <w:bCs/>
          <w:color w:val="auto"/>
          <w:sz w:val="24"/>
          <w:szCs w:val="24"/>
          <w:highlight w:val="none"/>
        </w:rPr>
        <w:t>四、其他补充事宜</w:t>
      </w:r>
    </w:p>
    <w:p w14:paraId="577CBFEF">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bookmarkStart w:id="34" w:name="EB64e1f522fd8c43fcb4d3ba471386b3e7"/>
      <w:r>
        <w:rPr>
          <w:rFonts w:hint="eastAsia" w:ascii="宋体" w:hAnsi="宋体" w:eastAsia="宋体" w:cs="宋体"/>
          <w:color w:val="auto"/>
          <w:sz w:val="24"/>
          <w:szCs w:val="24"/>
          <w:highlight w:val="none"/>
        </w:rPr>
        <w:t>1.财政部门监督电话：</w:t>
      </w:r>
      <w:r>
        <w:rPr>
          <w:rFonts w:hint="eastAsia" w:ascii="宋体" w:hAnsi="宋体" w:eastAsia="宋体" w:cs="宋体"/>
          <w:color w:val="auto"/>
          <w:sz w:val="24"/>
          <w:szCs w:val="24"/>
          <w:highlight w:val="white"/>
        </w:rPr>
        <w:t>0527-83559270</w:t>
      </w:r>
      <w:r>
        <w:rPr>
          <w:rFonts w:hint="eastAsia" w:ascii="宋体" w:hAnsi="宋体" w:eastAsia="宋体" w:cs="宋体"/>
          <w:color w:val="auto"/>
          <w:sz w:val="24"/>
          <w:szCs w:val="24"/>
          <w:highlight w:val="none"/>
        </w:rPr>
        <w:t>。</w:t>
      </w:r>
    </w:p>
    <w:p w14:paraId="7D7ACC56">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2.“CA”数字证书办理：“苏采云”系统目前仅支持“苏采云”系统下的政务CA。省内各地区办理的“苏采云”系统下的政务CA全省通用。宿迁地区CA数字证书办理联系方式：18762803891。</w:t>
      </w:r>
    </w:p>
    <w:p w14:paraId="6B1281D0">
      <w:pPr>
        <w:pStyle w:val="185"/>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3.宿迁地区“苏采云”技术支持客服电话：0527-84363067、0519-86722806。</w:t>
      </w:r>
    </w:p>
    <w:p w14:paraId="72EEE06F">
      <w:pPr>
        <w:pStyle w:val="185"/>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pacing w:val="-6"/>
          <w:sz w:val="24"/>
          <w:szCs w:val="24"/>
          <w:highlight w:val="none"/>
          <w:lang w:val="en-US"/>
        </w:rPr>
      </w:pPr>
      <w:r>
        <w:rPr>
          <w:rFonts w:hint="eastAsia" w:ascii="宋体" w:hAnsi="宋体" w:eastAsia="宋体" w:cs="宋体"/>
          <w:color w:val="auto"/>
          <w:sz w:val="24"/>
          <w:szCs w:val="24"/>
          <w:highlight w:val="none"/>
          <w:lang w:val="en-US"/>
        </w:rPr>
        <w:t>4.如果供应商通过苏采云系统参与政府采购项目，相关操作手册详见链接：</w:t>
      </w:r>
      <w:r>
        <w:rPr>
          <w:rFonts w:hint="eastAsia" w:ascii="宋体" w:hAnsi="宋体" w:eastAsia="宋体" w:cs="宋体"/>
          <w:color w:val="auto"/>
          <w:spacing w:val="-6"/>
          <w:sz w:val="24"/>
          <w:szCs w:val="24"/>
          <w:highlight w:val="none"/>
          <w:lang w:val="en-US"/>
        </w:rPr>
        <w:fldChar w:fldCharType="begin"/>
      </w:r>
      <w:r>
        <w:rPr>
          <w:rFonts w:hint="eastAsia" w:ascii="宋体" w:hAnsi="宋体" w:eastAsia="宋体" w:cs="宋体"/>
          <w:color w:val="auto"/>
          <w:spacing w:val="-6"/>
          <w:sz w:val="24"/>
          <w:szCs w:val="24"/>
          <w:highlight w:val="none"/>
          <w:lang w:val="en-US"/>
        </w:rPr>
        <w:instrText xml:space="preserve"> HYPERLINK "http://www.ccgp-jiangsu.gov.cn/jiangsu/zlxz/ee/ee3a4bc5a3454aa2b0d9312230633ce9.html。" </w:instrText>
      </w:r>
      <w:r>
        <w:rPr>
          <w:rFonts w:hint="eastAsia" w:ascii="宋体" w:hAnsi="宋体" w:eastAsia="宋体" w:cs="宋体"/>
          <w:color w:val="auto"/>
          <w:spacing w:val="-6"/>
          <w:sz w:val="24"/>
          <w:szCs w:val="24"/>
          <w:highlight w:val="none"/>
          <w:lang w:val="en-US"/>
        </w:rPr>
        <w:fldChar w:fldCharType="separate"/>
      </w:r>
      <w:r>
        <w:rPr>
          <w:rStyle w:val="33"/>
          <w:rFonts w:hint="eastAsia" w:ascii="宋体" w:hAnsi="宋体" w:eastAsia="宋体" w:cs="宋体"/>
          <w:spacing w:val="-6"/>
          <w:sz w:val="24"/>
          <w:szCs w:val="24"/>
          <w:highlight w:val="none"/>
          <w:lang w:val="en-US"/>
        </w:rPr>
        <w:t>http://www.ccgp-jiangsu.gov.cn/jiangsu/zlxz/ee/ee3a4bc5a3454aa2b0d9312230633ce9.html。</w:t>
      </w:r>
      <w:bookmarkEnd w:id="34"/>
      <w:r>
        <w:rPr>
          <w:rFonts w:hint="eastAsia" w:ascii="宋体" w:hAnsi="宋体" w:eastAsia="宋体" w:cs="宋体"/>
          <w:color w:val="auto"/>
          <w:spacing w:val="-6"/>
          <w:sz w:val="24"/>
          <w:szCs w:val="24"/>
          <w:highlight w:val="none"/>
          <w:lang w:val="en-US"/>
        </w:rPr>
        <w:fldChar w:fldCharType="end"/>
      </w:r>
    </w:p>
    <w:p w14:paraId="25E4DE97">
      <w:pPr>
        <w:pStyle w:val="185"/>
        <w:pageBreakBefore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5.现场勘察及答疑：本项目不组织集中勘察及答疑，供应商如对采购需求有疑问，请咨询采购单位联系人。</w:t>
      </w:r>
    </w:p>
    <w:p w14:paraId="6BB78CD4">
      <w:pPr>
        <w:pageBreakBefore w:val="0"/>
        <w:tabs>
          <w:tab w:val="left" w:pos="90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 本次单一来源采购不收取保证金。</w:t>
      </w:r>
    </w:p>
    <w:p w14:paraId="52771E26">
      <w:pPr>
        <w:keepNext/>
        <w:keepLines/>
        <w:pageBreakBefore w:val="0"/>
        <w:kinsoku/>
        <w:wordWrap/>
        <w:overflowPunct/>
        <w:topLinePunct w:val="0"/>
        <w:autoSpaceDE/>
        <w:autoSpaceDN/>
        <w:bidi w:val="0"/>
        <w:adjustRightInd/>
        <w:snapToGrid/>
        <w:spacing w:line="460" w:lineRule="exact"/>
        <w:ind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本次单一来源采购联系方式</w:t>
      </w:r>
      <w:bookmarkEnd w:id="29"/>
      <w:bookmarkEnd w:id="30"/>
      <w:bookmarkEnd w:id="31"/>
      <w:bookmarkEnd w:id="32"/>
      <w:bookmarkEnd w:id="33"/>
    </w:p>
    <w:p w14:paraId="498EE473">
      <w:pPr>
        <w:widowControl/>
        <w:spacing w:line="480" w:lineRule="exact"/>
        <w:ind w:firstLine="480"/>
        <w:jc w:val="left"/>
        <w:rPr>
          <w:rFonts w:ascii="宋体" w:hAnsi="宋体"/>
          <w:color w:val="000000"/>
          <w:sz w:val="24"/>
          <w:szCs w:val="24"/>
          <w:highlight w:val="none"/>
        </w:rPr>
      </w:pPr>
      <w:bookmarkStart w:id="35" w:name="_Toc28359087"/>
      <w:bookmarkStart w:id="36" w:name="_Toc28359010"/>
      <w:r>
        <w:rPr>
          <w:rFonts w:hint="eastAsia" w:ascii="宋体" w:hAnsi="宋体" w:cs="宋体"/>
          <w:color w:val="000000"/>
          <w:sz w:val="24"/>
          <w:szCs w:val="24"/>
          <w:highlight w:val="none"/>
        </w:rPr>
        <w:t>1.采购人信息</w:t>
      </w:r>
    </w:p>
    <w:p w14:paraId="1631541B">
      <w:pPr>
        <w:spacing w:line="48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名   称：</w:t>
      </w:r>
      <w:r>
        <w:rPr>
          <w:rFonts w:hint="eastAsia" w:ascii="宋体" w:hAnsi="宋体"/>
          <w:color w:val="000000"/>
          <w:sz w:val="24"/>
          <w:szCs w:val="24"/>
          <w:highlight w:val="none"/>
          <w:lang w:val="en-US" w:eastAsia="zh-CN"/>
        </w:rPr>
        <w:t>沭阳县</w:t>
      </w:r>
      <w:r>
        <w:rPr>
          <w:rFonts w:hint="eastAsia" w:ascii="宋体" w:hAnsi="宋体" w:cs="宋体"/>
          <w:sz w:val="24"/>
          <w:szCs w:val="24"/>
        </w:rPr>
        <w:t>残疾人联合会</w:t>
      </w:r>
    </w:p>
    <w:p w14:paraId="1CBBD40F">
      <w:pPr>
        <w:spacing w:line="48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地   址：宿迁市沭阳县长安路</w:t>
      </w:r>
    </w:p>
    <w:p w14:paraId="2FA977A6">
      <w:pPr>
        <w:spacing w:line="480" w:lineRule="exact"/>
        <w:ind w:firstLine="480"/>
        <w:jc w:val="left"/>
        <w:rPr>
          <w:rFonts w:ascii="宋体" w:hAnsi="宋体"/>
          <w:color w:val="000000"/>
          <w:sz w:val="24"/>
          <w:szCs w:val="24"/>
          <w:highlight w:val="none"/>
          <w:u w:val="single"/>
        </w:rPr>
      </w:pPr>
      <w:r>
        <w:rPr>
          <w:rFonts w:hint="eastAsia" w:ascii="宋体" w:hAnsi="宋体"/>
          <w:color w:val="000000"/>
          <w:sz w:val="24"/>
          <w:szCs w:val="24"/>
          <w:highlight w:val="none"/>
        </w:rPr>
        <w:t>联系方式：</w:t>
      </w:r>
      <w:bookmarkStart w:id="37" w:name="_Toc28359009"/>
      <w:bookmarkStart w:id="38" w:name="_Toc28359086"/>
      <w:r>
        <w:rPr>
          <w:rFonts w:hint="eastAsia" w:ascii="宋体" w:hAnsi="宋体"/>
          <w:color w:val="000000"/>
          <w:sz w:val="24"/>
          <w:szCs w:val="24"/>
          <w:highlight w:val="none"/>
        </w:rPr>
        <w:t>0527-80906665</w:t>
      </w:r>
    </w:p>
    <w:p w14:paraId="54548206">
      <w:pPr>
        <w:spacing w:line="480" w:lineRule="exact"/>
        <w:ind w:firstLine="480"/>
        <w:jc w:val="left"/>
        <w:rPr>
          <w:rFonts w:ascii="宋体" w:hAnsi="宋体"/>
          <w:color w:val="000000"/>
          <w:sz w:val="24"/>
          <w:szCs w:val="24"/>
          <w:highlight w:val="none"/>
        </w:rPr>
      </w:pPr>
      <w:r>
        <w:rPr>
          <w:rFonts w:hint="eastAsia" w:ascii="宋体" w:hAnsi="宋体" w:cs="宋体"/>
          <w:color w:val="000000"/>
          <w:sz w:val="24"/>
          <w:szCs w:val="24"/>
          <w:highlight w:val="none"/>
        </w:rPr>
        <w:t>2.</w:t>
      </w:r>
      <w:bookmarkEnd w:id="37"/>
      <w:bookmarkEnd w:id="38"/>
      <w:r>
        <w:rPr>
          <w:rFonts w:hint="eastAsia" w:ascii="宋体" w:hAnsi="宋体" w:cs="宋体"/>
          <w:color w:val="000000"/>
          <w:sz w:val="24"/>
          <w:szCs w:val="24"/>
          <w:highlight w:val="none"/>
        </w:rPr>
        <w:t>采购代理机构信息</w:t>
      </w:r>
    </w:p>
    <w:p w14:paraId="341253D0">
      <w:pPr>
        <w:spacing w:line="480" w:lineRule="exact"/>
        <w:ind w:firstLine="482"/>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名</w:t>
      </w:r>
      <w:r>
        <w:rPr>
          <w:rFonts w:hint="eastAsia" w:ascii="Times New Roman" w:hAnsi="Times New Roman" w:eastAsia="宋体" w:cs="仿宋"/>
          <w:color w:val="000000"/>
          <w:sz w:val="24"/>
          <w:szCs w:val="24"/>
          <w:highlight w:val="none"/>
        </w:rPr>
        <w:t>称：</w:t>
      </w:r>
      <w:r>
        <w:rPr>
          <w:rFonts w:hint="eastAsia" w:ascii="Times New Roman" w:hAnsi="Times New Roman" w:eastAsia="宋体" w:cs="Times New Roman"/>
          <w:color w:val="000000"/>
          <w:sz w:val="24"/>
          <w:highlight w:val="white"/>
        </w:rPr>
        <w:t>江苏仟亿项目管理有限公司</w:t>
      </w:r>
    </w:p>
    <w:p w14:paraId="3840B8EB">
      <w:pPr>
        <w:spacing w:line="480" w:lineRule="exact"/>
        <w:ind w:firstLine="482"/>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地</w:t>
      </w:r>
      <w:r>
        <w:rPr>
          <w:rFonts w:hint="eastAsia" w:ascii="Times New Roman" w:hAnsi="Times New Roman" w:eastAsia="宋体" w:cs="仿宋"/>
          <w:color w:val="000000"/>
          <w:sz w:val="24"/>
          <w:szCs w:val="24"/>
          <w:highlight w:val="none"/>
        </w:rPr>
        <w:t>址：</w:t>
      </w:r>
      <w:r>
        <w:rPr>
          <w:rFonts w:hint="eastAsia" w:ascii="Times New Roman" w:hAnsi="Times New Roman" w:eastAsia="宋体" w:cs="Times New Roman"/>
          <w:color w:val="000000"/>
          <w:sz w:val="24"/>
          <w:highlight w:val="white"/>
        </w:rPr>
        <w:t>沭阳县大连东路105号（豪园北门东侧）</w:t>
      </w:r>
    </w:p>
    <w:p w14:paraId="2D701643">
      <w:pPr>
        <w:pageBreakBefore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eastAsia="zh-CN"/>
        </w:rPr>
      </w:pPr>
      <w:r>
        <w:rPr>
          <w:rFonts w:hint="eastAsia" w:ascii="Times New Roman" w:hAnsi="Times New Roman" w:eastAsia="宋体" w:cs="仿宋"/>
          <w:color w:val="000000"/>
          <w:sz w:val="24"/>
          <w:szCs w:val="24"/>
          <w:highlight w:val="none"/>
        </w:rPr>
        <w:t>联系方式：</w:t>
      </w:r>
      <w:r>
        <w:rPr>
          <w:rFonts w:hint="eastAsia" w:ascii="宋体" w:hAnsi="宋体" w:cs="宋体"/>
          <w:color w:val="000000"/>
          <w:sz w:val="24"/>
          <w:szCs w:val="24"/>
          <w:highlight w:val="none"/>
        </w:rPr>
        <w:t>13365152227</w:t>
      </w:r>
    </w:p>
    <w:bookmarkEnd w:id="35"/>
    <w:bookmarkEnd w:id="36"/>
    <w:p w14:paraId="1CA7BF95">
      <w:pPr>
        <w:keepNext/>
        <w:jc w:val="center"/>
        <w:outlineLvl w:val="0"/>
        <w:rPr>
          <w:rFonts w:hint="eastAsia" w:ascii="宋体" w:hAnsi="宋体" w:eastAsia="宋体" w:cs="宋体"/>
          <w:b/>
          <w:bCs/>
          <w:color w:val="auto"/>
          <w:sz w:val="44"/>
          <w:szCs w:val="44"/>
          <w:highlight w:val="none"/>
        </w:rPr>
      </w:pPr>
      <w:bookmarkStart w:id="39" w:name="_Toc120614211"/>
      <w:r>
        <w:rPr>
          <w:rFonts w:hint="eastAsia" w:ascii="宋体" w:hAnsi="宋体" w:eastAsia="宋体" w:cs="宋体"/>
          <w:b/>
          <w:bCs/>
          <w:color w:val="auto"/>
          <w:sz w:val="44"/>
          <w:szCs w:val="44"/>
          <w:highlight w:val="none"/>
        </w:rPr>
        <w:t xml:space="preserve">第二章  </w:t>
      </w:r>
      <w:bookmarkEnd w:id="1"/>
      <w:bookmarkEnd w:id="2"/>
      <w:bookmarkEnd w:id="3"/>
      <w:bookmarkEnd w:id="4"/>
      <w:bookmarkEnd w:id="5"/>
      <w:bookmarkEnd w:id="39"/>
      <w:r>
        <w:rPr>
          <w:rFonts w:hint="eastAsia" w:ascii="宋体" w:hAnsi="宋体" w:eastAsia="宋体" w:cs="宋体"/>
          <w:b/>
          <w:bCs/>
          <w:color w:val="auto"/>
          <w:sz w:val="44"/>
          <w:szCs w:val="44"/>
          <w:highlight w:val="none"/>
        </w:rPr>
        <w:t>供应商须知</w:t>
      </w:r>
    </w:p>
    <w:p w14:paraId="52A36844">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bookmarkStart w:id="40" w:name="_Toc16938519"/>
      <w:bookmarkStart w:id="41" w:name="_Toc513029203"/>
      <w:bookmarkStart w:id="42" w:name="_Toc120614214"/>
      <w:bookmarkStart w:id="43" w:name="_Toc20823275"/>
      <w:r>
        <w:rPr>
          <w:rFonts w:hint="eastAsia" w:ascii="宋体" w:hAnsi="宋体" w:eastAsia="宋体" w:cs="宋体"/>
          <w:b/>
          <w:bCs/>
          <w:color w:val="auto"/>
          <w:sz w:val="24"/>
          <w:szCs w:val="24"/>
          <w:highlight w:val="none"/>
        </w:rPr>
        <w:t>一、总则</w:t>
      </w:r>
      <w:bookmarkEnd w:id="40"/>
      <w:bookmarkEnd w:id="41"/>
      <w:bookmarkEnd w:id="42"/>
      <w:bookmarkEnd w:id="43"/>
    </w:p>
    <w:p w14:paraId="4C579B9D">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44" w:name="_Hlt16619475"/>
      <w:bookmarkEnd w:id="44"/>
      <w:bookmarkStart w:id="45" w:name="_Toc458694821"/>
      <w:bookmarkStart w:id="46" w:name="_Toc20823276"/>
      <w:bookmarkStart w:id="47" w:name="_Toc513029204"/>
      <w:bookmarkStart w:id="48" w:name="_Toc16938520"/>
      <w:r>
        <w:rPr>
          <w:rFonts w:hint="eastAsia" w:ascii="宋体" w:hAnsi="宋体" w:eastAsia="宋体" w:cs="宋体"/>
          <w:color w:val="auto"/>
          <w:sz w:val="24"/>
          <w:szCs w:val="24"/>
          <w:highlight w:val="none"/>
        </w:rPr>
        <w:t>1</w:t>
      </w:r>
      <w:bookmarkEnd w:id="45"/>
      <w:r>
        <w:rPr>
          <w:rFonts w:hint="eastAsia" w:ascii="宋体" w:hAnsi="宋体" w:eastAsia="宋体" w:cs="宋体"/>
          <w:color w:val="auto"/>
          <w:sz w:val="24"/>
          <w:szCs w:val="24"/>
          <w:highlight w:val="none"/>
        </w:rPr>
        <w:t>、采购方式</w:t>
      </w:r>
      <w:bookmarkEnd w:id="46"/>
      <w:bookmarkEnd w:id="47"/>
      <w:bookmarkEnd w:id="48"/>
    </w:p>
    <w:p w14:paraId="35847B8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本次政府采购活动采取单一来源采购方式。</w:t>
      </w:r>
    </w:p>
    <w:p w14:paraId="1F2A8F4A">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49" w:name="_Toc20823277"/>
      <w:bookmarkStart w:id="50" w:name="_Toc513029205"/>
      <w:bookmarkStart w:id="51" w:name="_Toc16938521"/>
      <w:r>
        <w:rPr>
          <w:rFonts w:hint="eastAsia" w:ascii="宋体" w:hAnsi="宋体" w:eastAsia="宋体" w:cs="宋体"/>
          <w:color w:val="auto"/>
          <w:sz w:val="24"/>
          <w:szCs w:val="24"/>
          <w:highlight w:val="none"/>
        </w:rPr>
        <w:t>2、合格的</w:t>
      </w:r>
      <w:bookmarkEnd w:id="49"/>
      <w:bookmarkEnd w:id="50"/>
      <w:bookmarkEnd w:id="51"/>
      <w:r>
        <w:rPr>
          <w:rFonts w:hint="eastAsia" w:ascii="宋体" w:hAnsi="宋体" w:eastAsia="宋体" w:cs="宋体"/>
          <w:color w:val="auto"/>
          <w:sz w:val="24"/>
          <w:szCs w:val="24"/>
          <w:highlight w:val="none"/>
        </w:rPr>
        <w:t>供应商</w:t>
      </w:r>
    </w:p>
    <w:p w14:paraId="7E4E6EFB">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bookmarkStart w:id="52" w:name="_Toc20823278"/>
      <w:bookmarkStart w:id="53" w:name="_Toc513029206"/>
      <w:bookmarkStart w:id="54" w:name="_Toc16938522"/>
      <w:r>
        <w:rPr>
          <w:rFonts w:hint="eastAsia" w:ascii="宋体" w:hAnsi="宋体" w:eastAsia="宋体" w:cs="宋体"/>
          <w:color w:val="auto"/>
          <w:sz w:val="24"/>
          <w:szCs w:val="24"/>
          <w:highlight w:val="none"/>
        </w:rPr>
        <w:t>2. 1 满足采购文件中合格单一来源供应商资格要求的规定。</w:t>
      </w:r>
    </w:p>
    <w:p w14:paraId="41D309A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2 满足本采购文件实质性条款的规定。</w:t>
      </w:r>
    </w:p>
    <w:p w14:paraId="24C25A6D">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3、适用法律</w:t>
      </w:r>
      <w:bookmarkEnd w:id="52"/>
      <w:bookmarkEnd w:id="53"/>
      <w:bookmarkEnd w:id="54"/>
    </w:p>
    <w:p w14:paraId="277DE38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本次采购及由此产生的合同受中华人民共和国有关的法律法规制约和保护。</w:t>
      </w:r>
    </w:p>
    <w:p w14:paraId="4B83B07F">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55" w:name="_Toc462564067"/>
      <w:bookmarkStart w:id="56" w:name="_Toc16938523"/>
      <w:bookmarkStart w:id="57" w:name="_Toc20823279"/>
      <w:bookmarkStart w:id="58" w:name="_Toc513029207"/>
      <w:r>
        <w:rPr>
          <w:rFonts w:hint="eastAsia" w:ascii="宋体" w:hAnsi="宋体" w:eastAsia="宋体" w:cs="宋体"/>
          <w:color w:val="auto"/>
          <w:sz w:val="24"/>
          <w:szCs w:val="24"/>
          <w:highlight w:val="none"/>
        </w:rPr>
        <w:t>4、相关费用</w:t>
      </w:r>
      <w:bookmarkEnd w:id="55"/>
      <w:bookmarkEnd w:id="56"/>
      <w:bookmarkEnd w:id="57"/>
      <w:bookmarkEnd w:id="58"/>
    </w:p>
    <w:p w14:paraId="4C4DC9D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供应商应自行承担所有与参加本次采购有关的费用，无论采购过程中的做法和结果如何，采购代理机构在任何情况下均无义务和责任承担这些费用。</w:t>
      </w:r>
    </w:p>
    <w:p w14:paraId="2FE83B7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4.2代理费用收取方式及标准：按以下第</w:t>
      </w:r>
      <w:r>
        <w:rPr>
          <w:rFonts w:hint="eastAsia" w:ascii="宋体" w:hAnsi="宋体" w:eastAsia="宋体" w:cs="宋体"/>
          <w:color w:val="auto"/>
          <w:sz w:val="24"/>
          <w:szCs w:val="24"/>
          <w:highlight w:val="none"/>
          <w:u w:val="single"/>
        </w:rPr>
        <w:t xml:space="preserve"> 4.2.2</w:t>
      </w:r>
      <w:r>
        <w:rPr>
          <w:rFonts w:hint="eastAsia" w:ascii="宋体" w:hAnsi="宋体" w:eastAsia="宋体" w:cs="宋体"/>
          <w:color w:val="auto"/>
          <w:sz w:val="24"/>
          <w:szCs w:val="24"/>
          <w:highlight w:val="none"/>
        </w:rPr>
        <w:t xml:space="preserve"> 种方式执行</w:t>
      </w:r>
    </w:p>
    <w:p w14:paraId="0B8B5B8C">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4.2.1无需支付；</w:t>
      </w:r>
    </w:p>
    <w:p w14:paraId="6A16AA06">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zh-CN"/>
        </w:rPr>
        <w:t>4.2.2</w:t>
      </w:r>
      <w:r>
        <w:rPr>
          <w:rFonts w:hint="eastAsia" w:ascii="宋体" w:hAnsi="宋体" w:eastAsia="宋体" w:cs="宋体"/>
          <w:color w:val="auto"/>
          <w:sz w:val="24"/>
          <w:szCs w:val="24"/>
          <w:lang w:val="zh-CN"/>
        </w:rPr>
        <w:t>具体方式及标准为：按代理合同约定支付，可以采用数字人民币方式支付。</w:t>
      </w:r>
    </w:p>
    <w:p w14:paraId="36274570">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5、</w:t>
      </w:r>
      <w:r>
        <w:rPr>
          <w:rFonts w:hint="eastAsia" w:ascii="宋体" w:hAnsi="宋体" w:eastAsia="宋体" w:cs="宋体"/>
          <w:color w:val="auto"/>
          <w:sz w:val="24"/>
          <w:szCs w:val="24"/>
          <w:highlight w:val="none"/>
        </w:rPr>
        <w:t>采购文件的约束力</w:t>
      </w:r>
    </w:p>
    <w:p w14:paraId="2BF1EDCC">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02444DFB">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bookmarkStart w:id="59" w:name="_Toc16938525"/>
      <w:bookmarkStart w:id="60" w:name="_Toc513029209"/>
      <w:bookmarkStart w:id="61" w:name="_Toc120614215"/>
      <w:bookmarkStart w:id="62" w:name="_Toc20823281"/>
      <w:r>
        <w:rPr>
          <w:rFonts w:hint="eastAsia" w:ascii="宋体" w:hAnsi="宋体" w:eastAsia="宋体" w:cs="宋体"/>
          <w:b/>
          <w:bCs/>
          <w:color w:val="auto"/>
          <w:sz w:val="24"/>
          <w:szCs w:val="24"/>
          <w:highlight w:val="none"/>
        </w:rPr>
        <w:t>二、</w:t>
      </w:r>
      <w:bookmarkEnd w:id="59"/>
      <w:bookmarkEnd w:id="60"/>
      <w:bookmarkEnd w:id="61"/>
      <w:bookmarkEnd w:id="62"/>
      <w:r>
        <w:rPr>
          <w:rFonts w:hint="eastAsia" w:ascii="宋体" w:hAnsi="宋体" w:eastAsia="宋体" w:cs="宋体"/>
          <w:b/>
          <w:bCs/>
          <w:color w:val="auto"/>
          <w:sz w:val="24"/>
          <w:szCs w:val="24"/>
          <w:highlight w:val="none"/>
        </w:rPr>
        <w:t>采购文件</w:t>
      </w:r>
    </w:p>
    <w:p w14:paraId="6805143B">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63" w:name="_Toc16938526"/>
      <w:bookmarkStart w:id="64" w:name="_Toc20823282"/>
      <w:bookmarkStart w:id="65" w:name="_Toc513029210"/>
      <w:r>
        <w:rPr>
          <w:rFonts w:hint="eastAsia" w:ascii="宋体" w:hAnsi="宋体" w:eastAsia="宋体" w:cs="宋体"/>
          <w:color w:val="auto"/>
          <w:sz w:val="24"/>
          <w:szCs w:val="24"/>
          <w:highlight w:val="none"/>
        </w:rPr>
        <w:t>6、采购文件构成</w:t>
      </w:r>
      <w:bookmarkEnd w:id="63"/>
      <w:bookmarkEnd w:id="64"/>
      <w:bookmarkEnd w:id="65"/>
    </w:p>
    <w:p w14:paraId="24CFDB1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采购文件由以下部分组成：</w:t>
      </w:r>
    </w:p>
    <w:p w14:paraId="785476C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（1）单一来源采购邀请</w:t>
      </w:r>
    </w:p>
    <w:p w14:paraId="265F9F2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18D2346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（3）采购需求</w:t>
      </w:r>
    </w:p>
    <w:p w14:paraId="5286E50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（4）合同文本</w:t>
      </w:r>
    </w:p>
    <w:p w14:paraId="79B2734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（5）响应文件格式</w:t>
      </w:r>
    </w:p>
    <w:p w14:paraId="62F876B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请仔细检查采购文件是否齐全，如有缺漏请立即与采购代理机构联系解决。</w:t>
      </w:r>
    </w:p>
    <w:p w14:paraId="57A6756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52B2E037">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66" w:name="_Toc16938527"/>
      <w:bookmarkStart w:id="67" w:name="_Toc513029211"/>
      <w:bookmarkStart w:id="68" w:name="_Toc20823283"/>
      <w:bookmarkStart w:id="69" w:name="_Toc462564070"/>
      <w:r>
        <w:rPr>
          <w:rFonts w:hint="eastAsia" w:ascii="宋体" w:hAnsi="宋体" w:eastAsia="宋体" w:cs="宋体"/>
          <w:color w:val="auto"/>
          <w:sz w:val="24"/>
          <w:szCs w:val="24"/>
          <w:highlight w:val="none"/>
        </w:rPr>
        <w:t>7、采购文件的澄清</w:t>
      </w:r>
      <w:bookmarkEnd w:id="66"/>
      <w:bookmarkEnd w:id="67"/>
      <w:bookmarkEnd w:id="68"/>
      <w:bookmarkEnd w:id="69"/>
    </w:p>
    <w:p w14:paraId="188CB0D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bookmarkStart w:id="70" w:name="_Toc16938528"/>
      <w:bookmarkStart w:id="71" w:name="_Toc513029212"/>
      <w:bookmarkStart w:id="72" w:name="_Toc20823284"/>
      <w:bookmarkStart w:id="73" w:name="_Toc462564071"/>
      <w:r>
        <w:rPr>
          <w:rFonts w:hint="eastAsia" w:ascii="宋体" w:hAnsi="宋体" w:eastAsia="宋体" w:cs="宋体"/>
          <w:color w:val="auto"/>
          <w:sz w:val="24"/>
          <w:szCs w:val="24"/>
          <w:highlight w:val="none"/>
        </w:rPr>
        <w:t>7.1供应商如果要求对采购文件进行澄清的，应在响应文件接收截止时间（以下简称“截止时间”）三天前，在苏采云系统中通知采购代理机构。采购代理机构将在苏采云系统中对澄清要求予以答复。</w:t>
      </w:r>
      <w:bookmarkEnd w:id="70"/>
      <w:bookmarkEnd w:id="71"/>
      <w:bookmarkEnd w:id="72"/>
      <w:bookmarkEnd w:id="73"/>
    </w:p>
    <w:p w14:paraId="07155B15">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74" w:name="_Toc462564072"/>
      <w:bookmarkStart w:id="75" w:name="_Toc120614216"/>
      <w:bookmarkStart w:id="76" w:name="_Toc16938529"/>
      <w:bookmarkStart w:id="77" w:name="_Toc513029213"/>
      <w:bookmarkStart w:id="78" w:name="_Toc20823285"/>
      <w:r>
        <w:rPr>
          <w:rFonts w:hint="eastAsia" w:ascii="宋体" w:hAnsi="宋体" w:eastAsia="宋体" w:cs="宋体"/>
          <w:color w:val="auto"/>
          <w:sz w:val="24"/>
          <w:szCs w:val="24"/>
          <w:highlight w:val="none"/>
        </w:rPr>
        <w:t>8、采购文件的修改</w:t>
      </w:r>
    </w:p>
    <w:p w14:paraId="6BEC212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截止时间</w:t>
      </w:r>
      <w:r>
        <w:rPr>
          <w:rFonts w:hint="eastAsia" w:ascii="宋体" w:hAnsi="宋体" w:eastAsia="宋体" w:cs="宋体"/>
          <w:color w:val="auto"/>
          <w:sz w:val="24"/>
          <w:szCs w:val="24"/>
          <w:highlight w:val="none"/>
        </w:rPr>
        <w:t>前，采购代理机构可以以补充文件的方式对采购文件进行修改。</w:t>
      </w:r>
    </w:p>
    <w:p w14:paraId="58FC571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采购代理机构有权按照政府采购的有关要求推迟</w:t>
      </w:r>
      <w:r>
        <w:rPr>
          <w:rFonts w:hint="eastAsia" w:ascii="宋体" w:hAnsi="宋体" w:eastAsia="宋体" w:cs="宋体"/>
          <w:bCs/>
          <w:color w:val="auto"/>
          <w:sz w:val="24"/>
          <w:szCs w:val="24"/>
          <w:highlight w:val="none"/>
        </w:rPr>
        <w:t>截止时间</w:t>
      </w:r>
      <w:r>
        <w:rPr>
          <w:rFonts w:hint="eastAsia" w:ascii="宋体" w:hAnsi="宋体" w:eastAsia="宋体" w:cs="宋体"/>
          <w:color w:val="auto"/>
          <w:sz w:val="24"/>
          <w:szCs w:val="24"/>
          <w:highlight w:val="none"/>
        </w:rPr>
        <w:t>。</w:t>
      </w:r>
    </w:p>
    <w:p w14:paraId="67032E9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8.3</w:t>
      </w:r>
      <w:r>
        <w:rPr>
          <w:rFonts w:hint="eastAsia" w:ascii="宋体" w:hAnsi="宋体" w:eastAsia="宋体" w:cs="宋体"/>
          <w:color w:val="auto"/>
          <w:sz w:val="24"/>
          <w:szCs w:val="24"/>
          <w:highlight w:val="none"/>
        </w:rPr>
        <w:t>采购文件的补充文件将作为采购文件的组成部分，并对供应商具有约束力。</w:t>
      </w:r>
    </w:p>
    <w:p w14:paraId="3ACCF7B3">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三、响应文件的编制</w:t>
      </w:r>
      <w:bookmarkEnd w:id="74"/>
      <w:bookmarkEnd w:id="75"/>
      <w:bookmarkEnd w:id="76"/>
      <w:bookmarkEnd w:id="77"/>
      <w:bookmarkEnd w:id="78"/>
    </w:p>
    <w:p w14:paraId="637231F7">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
          <w:color w:val="auto"/>
          <w:sz w:val="24"/>
          <w:szCs w:val="24"/>
          <w:highlight w:val="none"/>
        </w:rPr>
      </w:pPr>
      <w:bookmarkStart w:id="79" w:name="_Toc16938530"/>
      <w:bookmarkStart w:id="80" w:name="_Toc513029214"/>
      <w:bookmarkStart w:id="81" w:name="_Toc462564073"/>
      <w:bookmarkStart w:id="82" w:name="_Toc20823286"/>
      <w:r>
        <w:rPr>
          <w:rFonts w:hint="eastAsia" w:ascii="宋体" w:hAnsi="宋体" w:eastAsia="宋体" w:cs="宋体"/>
          <w:color w:val="auto"/>
          <w:sz w:val="24"/>
          <w:szCs w:val="24"/>
          <w:highlight w:val="none"/>
        </w:rPr>
        <w:t>9、响应文件的语言及度量衡单位</w:t>
      </w:r>
      <w:bookmarkEnd w:id="79"/>
      <w:bookmarkEnd w:id="80"/>
      <w:bookmarkEnd w:id="81"/>
      <w:bookmarkEnd w:id="82"/>
    </w:p>
    <w:p w14:paraId="647642E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供应商提交的响应文件以及供应商与采购代理机构就有关采购活动的所有来往通知、函件和文件均应使用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75163DD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9.2</w:t>
      </w:r>
      <w:r>
        <w:rPr>
          <w:rFonts w:hint="eastAsia" w:ascii="宋体" w:hAnsi="宋体" w:eastAsia="宋体" w:cs="宋体"/>
          <w:color w:val="auto"/>
          <w:sz w:val="24"/>
          <w:szCs w:val="24"/>
          <w:highlight w:val="none"/>
        </w:rPr>
        <w:t>除技术性能另有规定外，响应文件所使用的度量衡单位，均须采用国家法定计量单位。</w:t>
      </w:r>
    </w:p>
    <w:p w14:paraId="5996251D">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83" w:name="_Toc462564074"/>
      <w:bookmarkStart w:id="84" w:name="_Toc20823287"/>
      <w:bookmarkStart w:id="85" w:name="_Toc513029215"/>
      <w:bookmarkStart w:id="86" w:name="_Toc16938531"/>
      <w:r>
        <w:rPr>
          <w:rFonts w:hint="eastAsia" w:ascii="宋体" w:hAnsi="宋体" w:eastAsia="宋体" w:cs="宋体"/>
          <w:color w:val="auto"/>
          <w:sz w:val="24"/>
          <w:szCs w:val="24"/>
          <w:highlight w:val="none"/>
        </w:rPr>
        <w:t>10、响应文件构成</w:t>
      </w:r>
      <w:bookmarkEnd w:id="83"/>
      <w:bookmarkEnd w:id="84"/>
      <w:bookmarkEnd w:id="85"/>
      <w:bookmarkEnd w:id="86"/>
    </w:p>
    <w:p w14:paraId="611FADA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bookmarkStart w:id="87" w:name="_Hlt26670360"/>
      <w:bookmarkEnd w:id="87"/>
      <w:bookmarkStart w:id="88" w:name="_Hlt26954838"/>
      <w:bookmarkEnd w:id="88"/>
      <w:bookmarkStart w:id="89" w:name="_Hlt26668975"/>
      <w:bookmarkEnd w:id="89"/>
      <w:bookmarkStart w:id="90" w:name="_Toc49090507"/>
      <w:bookmarkStart w:id="91" w:name="_Toc14577354"/>
      <w:bookmarkStart w:id="92" w:name="_Toc49090508"/>
      <w:bookmarkStart w:id="93" w:name="_Toc513029219"/>
      <w:bookmarkStart w:id="94" w:name="_Toc49090509"/>
      <w:bookmarkStart w:id="95" w:name="_Toc513029216"/>
      <w:bookmarkStart w:id="96" w:name="_Toc14577357"/>
      <w:bookmarkStart w:id="97" w:name="_Toc14577355"/>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供应商编写的响应文件应包括资格证明文件、符合性证明文件、分项报价表、响应及偏离表、其他证明文件、协商及声明函等部分。</w:t>
      </w:r>
    </w:p>
    <w:p w14:paraId="0DE18CD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10.2响应文件须加盖电子签章之处，应按要求加盖供应商数字证书的电子签章。其他需要盖章但未明确要求电子签章的，供应商可按要求加盖公章后上传材料电子件或直接加盖电子签章。 </w:t>
      </w:r>
    </w:p>
    <w:p w14:paraId="638CA58B">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p>
    <w:p w14:paraId="788685B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w:t>
      </w:r>
      <w:r>
        <w:rPr>
          <w:rFonts w:hint="eastAsia" w:ascii="宋体" w:hAnsi="宋体" w:eastAsia="宋体" w:cs="宋体"/>
          <w:bCs/>
          <w:color w:val="auto"/>
          <w:sz w:val="24"/>
          <w:szCs w:val="24"/>
          <w:highlight w:val="none"/>
        </w:rPr>
        <w:t>中标后按相关要求提供与电子投标文件一致的纸质打印投标文件4份</w:t>
      </w:r>
      <w:bookmarkEnd w:id="90"/>
      <w:bookmarkEnd w:id="91"/>
      <w:bookmarkEnd w:id="92"/>
      <w:bookmarkEnd w:id="93"/>
      <w:bookmarkEnd w:id="94"/>
      <w:bookmarkEnd w:id="95"/>
      <w:bookmarkEnd w:id="96"/>
      <w:bookmarkEnd w:id="97"/>
      <w:r>
        <w:rPr>
          <w:rFonts w:hint="eastAsia" w:ascii="宋体" w:hAnsi="宋体" w:eastAsia="宋体" w:cs="宋体"/>
          <w:color w:val="auto"/>
          <w:sz w:val="24"/>
          <w:szCs w:val="24"/>
          <w:highlight w:val="none"/>
        </w:rPr>
        <w:t>。</w:t>
      </w:r>
    </w:p>
    <w:p w14:paraId="37B460B8">
      <w:pPr>
        <w:pStyle w:val="183"/>
        <w:pageBreakBefore w:val="0"/>
        <w:widowControl w:val="0"/>
        <w:kinsoku/>
        <w:wordWrap/>
        <w:overflowPunct/>
        <w:topLinePunct w:val="0"/>
        <w:autoSpaceDE/>
        <w:autoSpaceDN/>
        <w:bidi w:val="0"/>
        <w:adjustRightInd/>
        <w:snapToGrid/>
        <w:spacing w:before="0" w:after="0" w:line="46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11、证明供应商及响应标的符合采购文件规定的文件</w:t>
      </w:r>
    </w:p>
    <w:p w14:paraId="0BC5DFF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11.1供应商应按照法律、法规、规章和规范性文件以及采购文件要求提交证明文件，证明其及响应标的符合采购文件规定。</w:t>
      </w:r>
    </w:p>
    <w:p w14:paraId="56243C0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11.2采购文件对证明文件无明确形式要求的，证明文件可以以文字资料、图纸和数据等形式提交。</w:t>
      </w:r>
    </w:p>
    <w:p w14:paraId="45E1152C">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738E6FF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bookmarkStart w:id="98" w:name="_Hlt26954731"/>
      <w:bookmarkEnd w:id="98"/>
      <w:bookmarkStart w:id="99" w:name="_Hlt26670482"/>
      <w:bookmarkEnd w:id="99"/>
      <w:bookmarkStart w:id="100" w:name="_Hlt26954846"/>
      <w:bookmarkEnd w:id="100"/>
      <w:bookmarkStart w:id="101" w:name="_Hlt26954848"/>
      <w:bookmarkEnd w:id="101"/>
      <w:bookmarkStart w:id="102" w:name="_Hlt26670486"/>
      <w:bookmarkEnd w:id="102"/>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供应商应按照采购文件规定格式填报分项报价表。</w:t>
      </w:r>
    </w:p>
    <w:p w14:paraId="5C7C9AB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报价货币。响应文件中的单价和总价无特殊规定的采用人民币报价，以元为单位标注。</w:t>
      </w:r>
      <w:r>
        <w:rPr>
          <w:rFonts w:hint="eastAsia" w:ascii="宋体" w:hAnsi="宋体" w:eastAsia="宋体" w:cs="宋体"/>
          <w:color w:val="auto"/>
          <w:sz w:val="24"/>
          <w:szCs w:val="24"/>
          <w:highlight w:val="none"/>
        </w:rPr>
        <w:t>采购文件中另有规定的按规定执行。</w:t>
      </w:r>
    </w:p>
    <w:p w14:paraId="3D9D4DF0">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27EABB1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13.1</w:t>
      </w:r>
      <w:r>
        <w:rPr>
          <w:rFonts w:hint="eastAsia" w:ascii="宋体" w:hAnsi="宋体" w:eastAsia="宋体" w:cs="宋体"/>
          <w:color w:val="auto"/>
          <w:sz w:val="24"/>
          <w:szCs w:val="24"/>
          <w:highlight w:val="none"/>
          <w:lang w:val="zh-CN"/>
        </w:rPr>
        <w:t>供应商需对采购文件中的技术要求与商务要求逐项作出响应或偏离，并说明原因。</w:t>
      </w:r>
    </w:p>
    <w:p w14:paraId="4746C3F5">
      <w:pPr>
        <w:pageBreakBefore w:val="0"/>
        <w:widowControl w:val="0"/>
        <w:tabs>
          <w:tab w:val="left" w:pos="7787"/>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13.2供应商可在响应文件中提供认为需要的其他技术文件或说明。</w:t>
      </w:r>
      <w:r>
        <w:rPr>
          <w:rFonts w:hint="eastAsia" w:ascii="宋体" w:hAnsi="宋体" w:eastAsia="宋体" w:cs="宋体"/>
          <w:color w:val="auto"/>
          <w:sz w:val="24"/>
          <w:szCs w:val="24"/>
        </w:rPr>
        <w:tab/>
      </w:r>
    </w:p>
    <w:p w14:paraId="52751756">
      <w:pPr>
        <w:pStyle w:val="183"/>
        <w:pageBreakBefore w:val="0"/>
        <w:widowControl w:val="0"/>
        <w:kinsoku/>
        <w:wordWrap/>
        <w:overflowPunct/>
        <w:topLinePunct w:val="0"/>
        <w:autoSpaceDE/>
        <w:autoSpaceDN/>
        <w:bidi w:val="0"/>
        <w:adjustRightInd/>
        <w:snapToGrid/>
        <w:spacing w:before="0" w:after="0" w:line="460" w:lineRule="exact"/>
        <w:ind w:left="0" w:firstLine="480" w:firstLineChars="200"/>
        <w:textAlignment w:val="auto"/>
        <w:rPr>
          <w:rFonts w:hint="eastAsia" w:ascii="宋体" w:hAnsi="宋体" w:eastAsia="宋体" w:cs="宋体"/>
          <w:b w:val="0"/>
          <w:bCs w:val="0"/>
          <w:color w:val="auto"/>
          <w:sz w:val="24"/>
          <w:szCs w:val="24"/>
          <w:highlight w:val="none"/>
          <w:lang w:val="en-US" w:eastAsia="zh-CN"/>
        </w:rPr>
      </w:pPr>
      <w:bookmarkStart w:id="103" w:name="_Toc14577360"/>
      <w:bookmarkStart w:id="104" w:name="_Toc49090511"/>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协商及声明函</w:t>
      </w:r>
    </w:p>
    <w:p w14:paraId="67BFEF2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 xml:space="preserve"> 供应商应按照采购文件中提供的格式完整、正确填写协商及声明函。</w:t>
      </w:r>
    </w:p>
    <w:p w14:paraId="76760047">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、单一来源采购有效期</w:t>
      </w:r>
      <w:bookmarkEnd w:id="103"/>
      <w:bookmarkEnd w:id="104"/>
    </w:p>
    <w:p w14:paraId="26954824">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 xml:space="preserve"> 单一来源采购有效期（以下简称“有效期”）为</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规定的响应文件接收截止之日后</w:t>
      </w:r>
      <w:r>
        <w:rPr>
          <w:rFonts w:hint="eastAsia" w:ascii="宋体" w:hAnsi="宋体" w:eastAsia="宋体" w:cs="宋体"/>
          <w:b/>
          <w:color w:val="auto"/>
          <w:sz w:val="24"/>
          <w:szCs w:val="24"/>
          <w:highlight w:val="none"/>
          <w:u w:val="single"/>
        </w:rPr>
        <w:t>三十（30）天</w:t>
      </w:r>
      <w:r>
        <w:rPr>
          <w:rFonts w:hint="eastAsia" w:ascii="宋体" w:hAnsi="宋体" w:eastAsia="宋体" w:cs="宋体"/>
          <w:bCs/>
          <w:color w:val="auto"/>
          <w:sz w:val="24"/>
          <w:szCs w:val="24"/>
          <w:highlight w:val="none"/>
        </w:rPr>
        <w:t>。有效期比规定期限短的将被视为未响应采购文件要求而予以拒绝。</w:t>
      </w:r>
    </w:p>
    <w:p w14:paraId="6BD521DD">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、有效期的延长</w:t>
      </w:r>
    </w:p>
    <w:p w14:paraId="695710A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.1在特殊情况下，</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rPr>
        <w:t>采购代理机构</w:t>
      </w:r>
      <w:r>
        <w:rPr>
          <w:rFonts w:hint="eastAsia" w:ascii="宋体" w:hAnsi="宋体" w:eastAsia="宋体" w:cs="宋体"/>
          <w:bCs/>
          <w:color w:val="auto"/>
          <w:sz w:val="24"/>
          <w:szCs w:val="24"/>
          <w:highlight w:val="none"/>
        </w:rPr>
        <w:t>的这一要求而放弃单一来源采购活动，同意延长有效期的供应商既不能要求也不允许修改其响应文件。</w:t>
      </w:r>
      <w:r>
        <w:rPr>
          <w:rFonts w:hint="eastAsia" w:ascii="宋体" w:hAnsi="宋体" w:eastAsia="宋体" w:cs="宋体"/>
          <w:color w:val="auto"/>
          <w:sz w:val="24"/>
          <w:szCs w:val="24"/>
          <w:highlight w:val="none"/>
        </w:rPr>
        <w:t>受有效期约束的所有权利与义务均延长至新的有效期</w:t>
      </w:r>
      <w:r>
        <w:rPr>
          <w:rFonts w:hint="eastAsia" w:ascii="宋体" w:hAnsi="宋体" w:eastAsia="宋体" w:cs="宋体"/>
          <w:bCs/>
          <w:color w:val="auto"/>
          <w:sz w:val="24"/>
          <w:szCs w:val="24"/>
          <w:highlight w:val="none"/>
        </w:rPr>
        <w:t>。</w:t>
      </w:r>
    </w:p>
    <w:p w14:paraId="589DADA0">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bookmarkStart w:id="105" w:name="_Hlt26954739"/>
      <w:bookmarkEnd w:id="105"/>
      <w:bookmarkStart w:id="106" w:name="_Hlt26954852"/>
      <w:bookmarkEnd w:id="106"/>
      <w:bookmarkStart w:id="107" w:name="_Toc20823296"/>
      <w:bookmarkStart w:id="108" w:name="_Toc16938540"/>
      <w:bookmarkStart w:id="109" w:name="_Toc120614217"/>
      <w:bookmarkStart w:id="110" w:name="_Toc513029224"/>
      <w:r>
        <w:rPr>
          <w:rFonts w:hint="eastAsia" w:ascii="宋体" w:hAnsi="宋体" w:eastAsia="宋体" w:cs="宋体"/>
          <w:b/>
          <w:bCs/>
          <w:color w:val="auto"/>
          <w:sz w:val="24"/>
          <w:szCs w:val="24"/>
          <w:highlight w:val="none"/>
        </w:rPr>
        <w:t>四、响应文件的递交</w:t>
      </w:r>
      <w:bookmarkEnd w:id="107"/>
      <w:bookmarkEnd w:id="108"/>
      <w:bookmarkEnd w:id="109"/>
      <w:bookmarkEnd w:id="110"/>
    </w:p>
    <w:p w14:paraId="1F037B8C">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111" w:name="_Toc16938541"/>
      <w:bookmarkStart w:id="112" w:name="_Toc462564084"/>
      <w:bookmarkStart w:id="113" w:name="_Toc20823297"/>
      <w:bookmarkStart w:id="114" w:name="_Toc513029225"/>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、电子</w:t>
      </w:r>
      <w:bookmarkEnd w:id="111"/>
      <w:bookmarkEnd w:id="112"/>
      <w:bookmarkEnd w:id="113"/>
      <w:bookmarkEnd w:id="114"/>
      <w:r>
        <w:rPr>
          <w:rFonts w:hint="eastAsia" w:ascii="宋体" w:hAnsi="宋体" w:eastAsia="宋体" w:cs="宋体"/>
          <w:color w:val="auto"/>
          <w:sz w:val="24"/>
          <w:szCs w:val="24"/>
          <w:highlight w:val="none"/>
        </w:rPr>
        <w:t>响应文件的递交</w:t>
      </w:r>
    </w:p>
    <w:p w14:paraId="7F2D2EB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.1供应商应当按照《操作手册》规定，在截止时间前制作并上传电子响应文件。</w:t>
      </w:r>
      <w:bookmarkStart w:id="115" w:name="_Toc16938542"/>
      <w:bookmarkStart w:id="116" w:name="_Toc20823298"/>
      <w:bookmarkStart w:id="117" w:name="_Toc513029226"/>
    </w:p>
    <w:p w14:paraId="0CB1BF72">
      <w:pPr>
        <w:keepNext/>
        <w:keepLines/>
        <w:pageBreakBefore w:val="0"/>
        <w:widowControl w:val="0"/>
        <w:numPr>
          <w:ilvl w:val="0"/>
          <w:numId w:val="2"/>
        </w:numPr>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提交响应文件截止时间</w:t>
      </w:r>
      <w:bookmarkEnd w:id="115"/>
      <w:bookmarkEnd w:id="116"/>
      <w:bookmarkEnd w:id="117"/>
    </w:p>
    <w:p w14:paraId="7C294E0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.1供应商上传电子响应文件的时间不得迟于单一来源采购邀请中规定的截止时间。</w:t>
      </w:r>
      <w:bookmarkStart w:id="118" w:name="_Toc16938543"/>
      <w:bookmarkStart w:id="119" w:name="_Toc513029227"/>
      <w:bookmarkStart w:id="120" w:name="_Toc20823299"/>
    </w:p>
    <w:p w14:paraId="61D2382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供应商应充分考虑到网络环境、网络带宽等风险因素，如因供应商自身原因造成的电子响应文件上传不成功由供应商自行承担全部责任。</w:t>
      </w:r>
    </w:p>
    <w:p w14:paraId="6F15944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.2采购代理机构可以按照规定，通过修改采购文件酌情延长截止时间，在此情况下，供应商的所有权利和义务以及供应商受制的截止时间以延长后新的截止时间为准。</w:t>
      </w:r>
    </w:p>
    <w:p w14:paraId="290BB381">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、响应文件</w:t>
      </w:r>
      <w:bookmarkEnd w:id="118"/>
      <w:bookmarkEnd w:id="119"/>
      <w:bookmarkEnd w:id="120"/>
      <w:r>
        <w:rPr>
          <w:rFonts w:hint="eastAsia" w:ascii="宋体" w:hAnsi="宋体" w:eastAsia="宋体" w:cs="宋体"/>
          <w:color w:val="auto"/>
          <w:sz w:val="24"/>
          <w:szCs w:val="24"/>
          <w:highlight w:val="none"/>
        </w:rPr>
        <w:t>的拒收</w:t>
      </w:r>
    </w:p>
    <w:p w14:paraId="2F08F1B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.1 采购代理机构拒绝接收在其规定的截止时间后上传的任何电子响应文件。</w:t>
      </w:r>
    </w:p>
    <w:p w14:paraId="312DD2B3">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121" w:name="_Toc20823300"/>
      <w:bookmarkStart w:id="122" w:name="_Toc513029228"/>
      <w:bookmarkStart w:id="123" w:name="_Toc16938544"/>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、响应文件的撤回和修改</w:t>
      </w:r>
      <w:bookmarkEnd w:id="121"/>
      <w:bookmarkEnd w:id="122"/>
      <w:bookmarkEnd w:id="123"/>
    </w:p>
    <w:p w14:paraId="5B32BEC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.1响应文件的撤回</w:t>
      </w:r>
    </w:p>
    <w:p w14:paraId="2EFEDA9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.1.1电子响应文件的撤回</w:t>
      </w:r>
    </w:p>
    <w:p w14:paraId="7D153F4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供应商可在截止时间前，撤回其电子响应文件，具体操作方法见《操作手册》。</w:t>
      </w:r>
    </w:p>
    <w:p w14:paraId="045D4CB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.1.2供应商撤回电子响应文件，则认为其不再参与本项目采购活动。</w:t>
      </w:r>
    </w:p>
    <w:p w14:paraId="2FE337D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.2响应文件的修改</w:t>
      </w:r>
    </w:p>
    <w:p w14:paraId="21AD3AB4">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供应商可在截止时间前，对其电子响应文件进行修改，具体操作方法见《操作手册》。</w:t>
      </w:r>
    </w:p>
    <w:p w14:paraId="3084A51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 xml:space="preserve"> 在截止时间之后，供应商不得对其电子响应文件作任何修改。</w:t>
      </w:r>
    </w:p>
    <w:p w14:paraId="1A74172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w:t>
      </w:r>
      <w:r>
        <w:rPr>
          <w:rFonts w:hint="eastAsia" w:ascii="宋体" w:hAnsi="宋体" w:eastAsia="宋体" w:cs="宋体"/>
          <w:bCs/>
          <w:color w:val="auto"/>
          <w:sz w:val="24"/>
          <w:szCs w:val="24"/>
          <w:highlight w:val="none"/>
        </w:rPr>
        <w:t xml:space="preserve"> 在截止时间至有效期满之间的这段时间内，供应商不得撤回其响应文件。</w:t>
      </w:r>
      <w:bookmarkStart w:id="124" w:name="_Toc20823301"/>
      <w:bookmarkStart w:id="125" w:name="_Toc513029229"/>
      <w:bookmarkStart w:id="126" w:name="_Toc16938545"/>
      <w:bookmarkStart w:id="127" w:name="_Toc120614218"/>
    </w:p>
    <w:p w14:paraId="68457DC9">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五、响应文件的解密与评审</w:t>
      </w:r>
      <w:bookmarkEnd w:id="124"/>
      <w:bookmarkEnd w:id="125"/>
      <w:bookmarkEnd w:id="126"/>
      <w:bookmarkEnd w:id="127"/>
    </w:p>
    <w:p w14:paraId="05C31330">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128" w:name="_Toc513029230"/>
      <w:bookmarkStart w:id="129" w:name="_Toc16938546"/>
      <w:bookmarkStart w:id="130" w:name="_Toc20823302"/>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w:t>
      </w:r>
      <w:bookmarkEnd w:id="128"/>
      <w:bookmarkEnd w:id="129"/>
      <w:bookmarkEnd w:id="130"/>
      <w:r>
        <w:rPr>
          <w:rFonts w:hint="eastAsia" w:ascii="宋体" w:hAnsi="宋体" w:eastAsia="宋体" w:cs="宋体"/>
          <w:color w:val="auto"/>
          <w:sz w:val="24"/>
          <w:szCs w:val="24"/>
          <w:highlight w:val="none"/>
        </w:rPr>
        <w:t>响应文件解密</w:t>
      </w:r>
    </w:p>
    <w:p w14:paraId="4996D8A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.1供应商应当按照《操作手册》规定，在苏采云系统规定的时间内对响应文件进行解密。</w:t>
      </w:r>
    </w:p>
    <w:p w14:paraId="0764400A">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131" w:name="_Toc513029231"/>
      <w:bookmarkStart w:id="132" w:name="_Toc16938547"/>
      <w:bookmarkStart w:id="133" w:name="_Toc20823303"/>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、单一来源谈判小组</w:t>
      </w:r>
    </w:p>
    <w:p w14:paraId="0247436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.1单一来源谈判小组（以下简称“谈判小组”）由政府采购评审专家、采购人代表组成，且人员构成符合政府采购有关规定。</w:t>
      </w:r>
    </w:p>
    <w:p w14:paraId="00EDDCC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.2谈判小组应当按照客观、公正、审慎的原则评审供应商的响应文件，并与</w:t>
      </w:r>
      <w:r>
        <w:rPr>
          <w:rFonts w:hint="eastAsia" w:ascii="宋体" w:hAnsi="宋体" w:eastAsia="宋体" w:cs="宋体"/>
          <w:bCs/>
          <w:color w:val="auto"/>
          <w:sz w:val="24"/>
          <w:szCs w:val="24"/>
          <w:highlight w:val="none"/>
        </w:rPr>
        <w:t>供应商协商采购标的的价格</w:t>
      </w:r>
      <w:r>
        <w:rPr>
          <w:rFonts w:hint="eastAsia" w:ascii="宋体" w:hAnsi="宋体" w:eastAsia="宋体" w:cs="宋体"/>
          <w:color w:val="auto"/>
          <w:sz w:val="24"/>
          <w:szCs w:val="24"/>
          <w:highlight w:val="none"/>
        </w:rPr>
        <w:t>。</w:t>
      </w:r>
    </w:p>
    <w:p w14:paraId="217E1C5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、单一来源谈判过程的保密与公正</w:t>
      </w:r>
      <w:bookmarkEnd w:id="131"/>
      <w:bookmarkEnd w:id="132"/>
      <w:bookmarkEnd w:id="133"/>
    </w:p>
    <w:p w14:paraId="59EB49E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bookmarkStart w:id="134" w:name="_Toc16938548"/>
      <w:bookmarkStart w:id="135" w:name="_Toc513029232"/>
      <w:bookmarkStart w:id="136" w:name="_Toc20823304"/>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谈判小组、采购人和采购代理机构工作人员、相关监督人员等与评审工作有关的人员，对评审、单一来源谈判情况以及在评审、单一来源谈判过程（以下简称“谈判过程”）中获悉的国家秘密、商业秘密负有保密责任。</w:t>
      </w:r>
    </w:p>
    <w:p w14:paraId="59DDE70F">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.2在谈判过程中，供应商不得以任何行为影响评审及谈判过程，否则将会导致其响应文件被拒绝。</w:t>
      </w:r>
    </w:p>
    <w:p w14:paraId="6A824E00">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、评审及谈判过程中的澄清</w:t>
      </w:r>
      <w:bookmarkEnd w:id="134"/>
      <w:bookmarkEnd w:id="135"/>
      <w:bookmarkEnd w:id="136"/>
    </w:p>
    <w:p w14:paraId="5E672BE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.1项目评审及谈判过程中，谈判小组有权要求供应商对响应文件中含义不明确、同类问题表述不一致或者有明显文字和计算错误的内容等作出必要的澄清、说明或者更正。</w:t>
      </w:r>
    </w:p>
    <w:p w14:paraId="10CEF02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0692D3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接到谈判小组澄清、说明和更正要求的供应商如未按规定做出澄清、说明和更正，其风险由供应商自行承担。</w:t>
      </w:r>
    </w:p>
    <w:p w14:paraId="00C5DD7F">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bookmarkStart w:id="137" w:name="_Toc513029233"/>
      <w:bookmarkStart w:id="138" w:name="_Toc20823305"/>
      <w:bookmarkStart w:id="139" w:name="_Toc16938549"/>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、对响应文件的审</w:t>
      </w:r>
      <w:bookmarkEnd w:id="137"/>
      <w:bookmarkEnd w:id="138"/>
      <w:bookmarkEnd w:id="139"/>
      <w:r>
        <w:rPr>
          <w:rFonts w:hint="eastAsia" w:ascii="宋体" w:hAnsi="宋体" w:eastAsia="宋体" w:cs="宋体"/>
          <w:color w:val="auto"/>
          <w:sz w:val="24"/>
          <w:szCs w:val="24"/>
          <w:highlight w:val="none"/>
        </w:rPr>
        <w:t>查</w:t>
      </w:r>
    </w:p>
    <w:p w14:paraId="4520CEA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响应文件审查分为资格审查和符合性审查。</w:t>
      </w:r>
    </w:p>
    <w:p w14:paraId="0F88297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.1.1 资格审查：由谈判小组依据法律法规和谈判文件的规定，对响应文件中的资格证明文件进行审查，以确定供应商是否具备参加单一来源谈判的资格。</w:t>
      </w:r>
    </w:p>
    <w:p w14:paraId="500E1FB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687B25B">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.1.2符合性审查：依据采购文件的规定，由谈判小组从响应文件的有效性、完整性和对采购文件的响应程度进行审查，以确定是否对谈判文件的实质性要求作出响应。</w:t>
      </w:r>
    </w:p>
    <w:p w14:paraId="0048472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.1.3未通过资格审查或符合性审查的供应商，谈判小组将在苏采云系统中告知未通过资格审查或符合性审查的原因，评审结束后，谈判小组将不再告知未通过资格审查或符合性审查的原因。</w:t>
      </w:r>
    </w:p>
    <w:p w14:paraId="2C21B9F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.2在正式进行谈判之前，谈判小组将首先审查每份响应文件是否实质性响应了采购文件的要求。实质性响应的响应文件应该是与采购文件要求的条款、条件和规格相符，没有重大偏离或保留。</w:t>
      </w:r>
    </w:p>
    <w:p w14:paraId="3C3732E4">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采购文件规定的实质性要求存在负偏离，或者在实质上与采购文件不一致，而且限制了合同中买方和采购代理机构的权利或供应商的义务。重大偏离由谈判小组按照少数服从多数的原则认定。谈判小组决定响应文件的响应性只根据响应文件本身的内容，而不寻求外部的证据。</w:t>
      </w:r>
    </w:p>
    <w:p w14:paraId="4F860B8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.3未实质性响应采购文件的情形</w:t>
      </w:r>
    </w:p>
    <w:p w14:paraId="28B0541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.3.1供应商在苏采云系统规定的时间内未成功解密电子响应文件的。</w:t>
      </w:r>
    </w:p>
    <w:p w14:paraId="43F2BF3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.3.2供应商未按照采购文件要求上传电子响应文件的。</w:t>
      </w:r>
    </w:p>
    <w:p w14:paraId="3F62840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.3.3供应商提交两个（含两个）以上不同的响应文件或者最后报价的。</w:t>
      </w:r>
    </w:p>
    <w:p w14:paraId="5101CE9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.3.4供应商不具备采购文件中规定资格要求的。</w:t>
      </w:r>
    </w:p>
    <w:p w14:paraId="6AA2C25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.3.5供应商的最后报价超过了采购预算。</w:t>
      </w:r>
    </w:p>
    <w:p w14:paraId="4708B83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.3.6不符合采购文件中规定的实质性要求和条件的（★部分为实质性要求）</w:t>
      </w:r>
    </w:p>
    <w:p w14:paraId="0A5B0E3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C5397E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.3.8响应文件含有采购人不能接受的附加条件的。</w:t>
      </w:r>
    </w:p>
    <w:p w14:paraId="52E1335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Cs/>
          <w:color w:val="auto"/>
          <w:sz w:val="24"/>
          <w:szCs w:val="24"/>
          <w:highlight w:val="none"/>
        </w:rPr>
        <w:t>.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77C7F52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.3.10响应文件未按照谈判文件要求加盖CA电子公章的。</w:t>
      </w:r>
    </w:p>
    <w:p w14:paraId="6697B374">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.4未实质性响应采购文件的响应文件按无效响应处理。</w:t>
      </w:r>
    </w:p>
    <w:p w14:paraId="76E1742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如果响应文件实质上没有响应采购文件的要求，谈判小组将予以拒绝。</w:t>
      </w:r>
    </w:p>
    <w:p w14:paraId="19E557C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bookmarkStart w:id="140" w:name="_Toc20823306"/>
      <w:bookmarkStart w:id="141" w:name="_Toc16938550"/>
      <w:bookmarkStart w:id="142" w:name="_Toc513029234"/>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.6供应商在项目评审及谈判全过程中应保持通讯畅通，并安排专人与采购代理机构及</w:t>
      </w:r>
      <w:r>
        <w:rPr>
          <w:rFonts w:hint="eastAsia" w:ascii="宋体" w:hAnsi="宋体" w:eastAsia="宋体" w:cs="宋体"/>
          <w:color w:val="auto"/>
          <w:sz w:val="24"/>
          <w:szCs w:val="24"/>
          <w:highlight w:val="none"/>
          <w:lang w:val="en-US" w:eastAsia="zh-CN"/>
        </w:rPr>
        <w:t>协商</w:t>
      </w:r>
      <w:r>
        <w:rPr>
          <w:rFonts w:hint="eastAsia" w:ascii="宋体" w:hAnsi="宋体" w:eastAsia="宋体" w:cs="宋体"/>
          <w:color w:val="auto"/>
          <w:sz w:val="24"/>
          <w:szCs w:val="24"/>
          <w:highlight w:val="none"/>
        </w:rPr>
        <w:t>小组联系。</w:t>
      </w:r>
    </w:p>
    <w:p w14:paraId="6A1719BC">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bookmarkEnd w:id="140"/>
      <w:bookmarkEnd w:id="141"/>
      <w:bookmarkEnd w:id="142"/>
      <w:r>
        <w:rPr>
          <w:rFonts w:hint="eastAsia" w:ascii="宋体" w:hAnsi="宋体" w:eastAsia="宋体" w:cs="宋体"/>
          <w:color w:val="auto"/>
          <w:sz w:val="24"/>
          <w:szCs w:val="24"/>
          <w:highlight w:val="none"/>
        </w:rPr>
        <w:t>单一来源谈判及成交原则</w:t>
      </w:r>
    </w:p>
    <w:p w14:paraId="19F2D69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.1单一来源谈判</w:t>
      </w:r>
    </w:p>
    <w:p w14:paraId="3B15124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.1.1对于通过资格审查和符合性审查的供应商，谈判小组将通过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与其就采购标的的价格、服务等内容进行单一来源谈判。</w:t>
      </w:r>
    </w:p>
    <w:p w14:paraId="63327B0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.1.2</w:t>
      </w:r>
      <w:r>
        <w:rPr>
          <w:rFonts w:hint="eastAsia" w:ascii="宋体" w:hAnsi="宋体" w:eastAsia="宋体" w:cs="宋体"/>
          <w:color w:val="auto"/>
          <w:sz w:val="24"/>
          <w:szCs w:val="24"/>
          <w:highlight w:val="none"/>
        </w:rPr>
        <w:t>供应商应当在苏采云系统中以书面形式对谈判过程中做出的承诺与澄清进行确认，并在谈判小组规定的时间内完成最后报价。</w:t>
      </w:r>
    </w:p>
    <w:p w14:paraId="1609589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.1.3</w:t>
      </w:r>
      <w:r>
        <w:rPr>
          <w:rFonts w:hint="eastAsia" w:ascii="宋体" w:hAnsi="宋体" w:eastAsia="宋体" w:cs="宋体"/>
          <w:color w:val="auto"/>
          <w:sz w:val="24"/>
          <w:szCs w:val="24"/>
          <w:highlight w:val="none"/>
        </w:rPr>
        <w:t>供应商的最后报价在响应产品数量没有增加，配置、服务没有重大提高的情况下，一般不允许高于第一次报价（即单一来源谈判分项报价表</w:t>
      </w:r>
      <w:r>
        <w:rPr>
          <w:rFonts w:hint="eastAsia" w:ascii="宋体" w:hAnsi="宋体" w:eastAsia="宋体" w:cs="宋体"/>
          <w:bCs/>
          <w:color w:val="auto"/>
          <w:sz w:val="24"/>
          <w:szCs w:val="24"/>
          <w:highlight w:val="none"/>
        </w:rPr>
        <w:t>中的</w:t>
      </w:r>
      <w:r>
        <w:rPr>
          <w:rFonts w:hint="eastAsia" w:ascii="宋体" w:hAnsi="宋体" w:eastAsia="宋体" w:cs="宋体"/>
          <w:color w:val="auto"/>
          <w:sz w:val="24"/>
          <w:szCs w:val="24"/>
          <w:highlight w:val="none"/>
        </w:rPr>
        <w:t>报价）。否则，谈判小组有权拒绝该最后报价并不再给予报价补救机会。</w:t>
      </w:r>
    </w:p>
    <w:p w14:paraId="4448CB4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.2成交原则</w:t>
      </w:r>
    </w:p>
    <w:p w14:paraId="56D4BA0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谈判小组根据政府采购相关法律、规章的规定，在供应商的响应情况能保证采购项目质量且最后报价合理的基础上确定其为成交供应商。</w:t>
      </w:r>
    </w:p>
    <w:p w14:paraId="71EBDE7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.3单一来源谈判终止情形处理</w:t>
      </w:r>
    </w:p>
    <w:p w14:paraId="2A42632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出现下列情形之一的，采购代理机构将终止采购活动，发布项目终止公告并说明原因，重新开展采购活动：</w:t>
      </w:r>
    </w:p>
    <w:p w14:paraId="759F75EF">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.3.1 因情况变化，不再符合规定的单一来源采购方式适用情形的；</w:t>
      </w:r>
    </w:p>
    <w:p w14:paraId="5BE38304">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.3.2 出现影响采购公正的违法、违规行为的；</w:t>
      </w:r>
    </w:p>
    <w:p w14:paraId="32474EF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.3.3供应商最后报价超过采购预算的；</w:t>
      </w:r>
    </w:p>
    <w:p w14:paraId="6A16CB8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.3.4供应商的技术方案、服务承诺、商务条款等不能满足采购人或谈判小组的要求；</w:t>
      </w:r>
    </w:p>
    <w:p w14:paraId="3184BDF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 xml:space="preserve">.3.5 </w:t>
      </w:r>
      <w:r>
        <w:rPr>
          <w:rFonts w:hint="eastAsia" w:ascii="宋体" w:hAnsi="宋体" w:eastAsia="宋体" w:cs="宋体"/>
          <w:color w:val="auto"/>
          <w:sz w:val="24"/>
          <w:szCs w:val="24"/>
          <w:highlight w:val="none"/>
        </w:rPr>
        <w:t>法律、法规、规章规定的其他应当终止的情形。</w:t>
      </w:r>
    </w:p>
    <w:p w14:paraId="45F557B8">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六、成交</w:t>
      </w:r>
    </w:p>
    <w:p w14:paraId="5B1F185C">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、确定成交供应商</w:t>
      </w:r>
    </w:p>
    <w:p w14:paraId="74F3708C">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.1谈判小组根据谈判情况编写单一来源评审报告，推荐成交候选供应商。</w:t>
      </w:r>
    </w:p>
    <w:p w14:paraId="667F0A38">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.2 采购人根据谈判小组推荐的成交候选供应商确定成交供应商。</w:t>
      </w:r>
    </w:p>
    <w:p w14:paraId="5EA2073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.3若有充分证据证明，成交供应商出现下列情况之一的，一经查实，将被取消成交资格：</w:t>
      </w:r>
    </w:p>
    <w:p w14:paraId="7D72B11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.3.1提供虚假材料谋取成交的。</w:t>
      </w:r>
    </w:p>
    <w:p w14:paraId="306F8281">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.3.2与评审专家、采购人、其他供应商或者采购代理机构工作人员恶意串通的。</w:t>
      </w:r>
    </w:p>
    <w:p w14:paraId="46EF885F">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.3.3向评审专家、采购人或采购代理机构工作人员行贿或者提供其他不正当利益的。</w:t>
      </w:r>
    </w:p>
    <w:p w14:paraId="0447874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.3.4恶意竞争，最后报价明显低于其自身合理成本且又无法提供证明的。</w:t>
      </w:r>
    </w:p>
    <w:p w14:paraId="4D9F8B3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.3.5不满足本采购文件规定的实质性要求，但在评审过程中又未被谈判小组发现的。</w:t>
      </w:r>
    </w:p>
    <w:p w14:paraId="3B0B8A6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.3.6成交后无正当理由拒不与采购人签订政府采购合同或者未按照采购文件确定的事项签订政府采购合同的。</w:t>
      </w:r>
    </w:p>
    <w:p w14:paraId="2648DA1F">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.3.7将政府采购合同转包的。</w:t>
      </w:r>
    </w:p>
    <w:p w14:paraId="2854F1F2">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成交供应商被取消成交资格后，采购代理机构有权重新组织采购。</w:t>
      </w:r>
    </w:p>
    <w:p w14:paraId="1CDE4BBB">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bookmarkStart w:id="143" w:name="_Toc200451960"/>
      <w:r>
        <w:rPr>
          <w:rFonts w:hint="eastAsia" w:ascii="宋体" w:hAnsi="宋体" w:eastAsia="宋体" w:cs="宋体"/>
          <w:bCs/>
          <w:color w:val="auto"/>
          <w:sz w:val="24"/>
          <w:szCs w:val="24"/>
          <w:highlight w:val="none"/>
          <w:lang w:val="en-US" w:eastAsia="zh-CN"/>
        </w:rPr>
        <w:t>28</w:t>
      </w:r>
      <w:r>
        <w:rPr>
          <w:rFonts w:hint="eastAsia" w:ascii="宋体" w:hAnsi="宋体" w:eastAsia="宋体" w:cs="宋体"/>
          <w:bCs/>
          <w:color w:val="auto"/>
          <w:sz w:val="24"/>
          <w:szCs w:val="24"/>
          <w:highlight w:val="none"/>
        </w:rPr>
        <w:t>、质疑处理</w:t>
      </w:r>
      <w:bookmarkEnd w:id="143"/>
    </w:p>
    <w:p w14:paraId="59DE19F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.1供应商认为采购过程和采购结果使自己的权益受到损害的，可以从采购结果公布之日起七个工作日内，以书面形式向采购代理机构提出质疑。</w:t>
      </w:r>
    </w:p>
    <w:p w14:paraId="055030D5">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.2供应商应当在法定质疑期内一次性提出针对同一采购程序环节的质疑。供应商如在法定期限内对同一采购程序环节提出多次质疑的，采购代理机构、采购人将只对供应商第一次质疑作出答复。</w:t>
      </w:r>
    </w:p>
    <w:p w14:paraId="3732EBBC">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.3质疑函必须按照本采购文件中《质疑函范本》要求的格式和内容进行填写。供应商如组成联合体参加谈判，则《质疑函范本》中要求签字、</w:t>
      </w:r>
      <w:r>
        <w:rPr>
          <w:rFonts w:hint="eastAsia" w:ascii="宋体" w:hAnsi="宋体" w:cs="宋体"/>
          <w:color w:val="auto"/>
          <w:sz w:val="24"/>
          <w:szCs w:val="24"/>
          <w:highlight w:val="none"/>
          <w:lang w:val="en-US" w:eastAsia="zh-CN"/>
        </w:rPr>
        <w:t>签章</w:t>
      </w:r>
      <w:r>
        <w:rPr>
          <w:rFonts w:hint="eastAsia" w:ascii="宋体" w:hAnsi="宋体" w:eastAsia="宋体" w:cs="宋体"/>
          <w:color w:val="auto"/>
          <w:sz w:val="24"/>
          <w:szCs w:val="24"/>
          <w:highlight w:val="none"/>
        </w:rPr>
        <w:t>之处，联合体各方均须按要求签字、</w:t>
      </w:r>
      <w:r>
        <w:rPr>
          <w:rFonts w:hint="eastAsia" w:ascii="宋体" w:hAnsi="宋体" w:cs="宋体"/>
          <w:color w:val="auto"/>
          <w:sz w:val="24"/>
          <w:szCs w:val="24"/>
          <w:highlight w:val="none"/>
          <w:lang w:val="en-US" w:eastAsia="zh-CN"/>
        </w:rPr>
        <w:t>签章</w:t>
      </w:r>
      <w:r>
        <w:rPr>
          <w:rFonts w:hint="eastAsia" w:ascii="宋体" w:hAnsi="宋体" w:eastAsia="宋体" w:cs="宋体"/>
          <w:color w:val="auto"/>
          <w:sz w:val="24"/>
          <w:szCs w:val="24"/>
          <w:highlight w:val="none"/>
        </w:rPr>
        <w:t>。</w:t>
      </w:r>
    </w:p>
    <w:p w14:paraId="06BD895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.4质疑渠道：投标人登录“苏采云”系统“项目质疑申请”模块向采购人提出，质疑处理联系方式详见“采购人信息”；质疑超出采购机构代理范围的，供应商应当向采购人提出。</w:t>
      </w:r>
    </w:p>
    <w:p w14:paraId="168653F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 以下情形的质疑不予受理</w:t>
      </w:r>
    </w:p>
    <w:p w14:paraId="0001044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.5.1 内容不符合《政府采购质疑和投诉办法》第十二条规定的质疑。</w:t>
      </w:r>
    </w:p>
    <w:p w14:paraId="1CFEB009">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.5.2 超出政府采购法定期限的质疑。</w:t>
      </w:r>
    </w:p>
    <w:p w14:paraId="7BFDB743">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.5.3 以传真、电子邮件等方式递交的非原件形式的质疑。</w:t>
      </w:r>
    </w:p>
    <w:p w14:paraId="61CFC4C7">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.5.4未参加单一来源采购活动的供应商所提出的质疑。</w:t>
      </w:r>
    </w:p>
    <w:p w14:paraId="32DDFA7C">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.5.5供应商组成联合体参加谈判，联合体中任何一方或多方未按要求签字、盖章、加盖公章的质疑。</w:t>
      </w:r>
    </w:p>
    <w:p w14:paraId="51A1580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A489DFD">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29</w:t>
      </w:r>
      <w:r>
        <w:rPr>
          <w:rFonts w:hint="eastAsia" w:ascii="宋体" w:hAnsi="宋体" w:eastAsia="宋体" w:cs="宋体"/>
          <w:bCs/>
          <w:color w:val="auto"/>
          <w:sz w:val="24"/>
          <w:szCs w:val="24"/>
          <w:highlight w:val="none"/>
        </w:rPr>
        <w:t>、成交通知书</w:t>
      </w:r>
    </w:p>
    <w:p w14:paraId="13BBA4D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1FE81D2D">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0435285">
      <w:pPr>
        <w:keepNext/>
        <w:keepLines/>
        <w:pageBreakBefore w:val="0"/>
        <w:widowControl w:val="0"/>
        <w:kinsoku/>
        <w:wordWrap/>
        <w:overflowPunct/>
        <w:topLinePunct w:val="0"/>
        <w:autoSpaceDE/>
        <w:autoSpaceDN/>
        <w:bidi w:val="0"/>
        <w:adjustRightInd/>
        <w:snapToGrid/>
        <w:spacing w:line="460" w:lineRule="exact"/>
        <w:ind w:left="0" w:firstLine="482" w:firstLineChars="200"/>
        <w:textAlignment w:val="auto"/>
        <w:outlineLvl w:val="2"/>
        <w:rPr>
          <w:rFonts w:hint="eastAsia" w:ascii="宋体" w:hAnsi="宋体" w:eastAsia="宋体" w:cs="宋体"/>
          <w:b/>
          <w:bCs/>
          <w:color w:val="auto"/>
          <w:sz w:val="24"/>
          <w:szCs w:val="24"/>
          <w:highlight w:val="none"/>
        </w:rPr>
      </w:pPr>
      <w:bookmarkStart w:id="144" w:name="_Toc513029236"/>
      <w:bookmarkStart w:id="145" w:name="_Toc16938552"/>
      <w:bookmarkStart w:id="146" w:name="_Toc120614220"/>
      <w:bookmarkStart w:id="147" w:name="_Toc20823308"/>
      <w:r>
        <w:rPr>
          <w:rFonts w:hint="eastAsia" w:ascii="宋体" w:hAnsi="宋体" w:eastAsia="宋体" w:cs="宋体"/>
          <w:b/>
          <w:bCs/>
          <w:color w:val="auto"/>
          <w:sz w:val="24"/>
          <w:szCs w:val="24"/>
          <w:highlight w:val="none"/>
        </w:rPr>
        <w:t>七、授予合同</w:t>
      </w:r>
      <w:bookmarkEnd w:id="144"/>
      <w:bookmarkEnd w:id="145"/>
      <w:bookmarkEnd w:id="146"/>
      <w:bookmarkEnd w:id="147"/>
    </w:p>
    <w:p w14:paraId="662D79AF">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bookmarkStart w:id="148" w:name="_Toc20823309"/>
      <w:bookmarkStart w:id="149" w:name="_Toc16938553"/>
      <w:bookmarkStart w:id="150" w:name="_Toc513029237"/>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.签订合同</w:t>
      </w:r>
    </w:p>
    <w:p w14:paraId="72D44AAE">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0</w:t>
      </w:r>
      <w:r>
        <w:rPr>
          <w:rFonts w:hint="eastAsia" w:ascii="宋体" w:hAnsi="宋体" w:eastAsia="宋体" w:cs="宋体"/>
          <w:color w:val="auto"/>
          <w:sz w:val="24"/>
          <w:szCs w:val="24"/>
          <w:highlight w:val="none"/>
        </w:rPr>
        <w:t>.l成交供应商应当在成交通知书发出之日起十五日内，按照采购文件确定的事项与采购人签订政府采购合同。</w:t>
      </w:r>
    </w:p>
    <w:p w14:paraId="4FDA16D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.2采购文件、成交供应商的响应文件及谈判过程中有关澄清、承诺文件均应作为合同附件。</w:t>
      </w:r>
    </w:p>
    <w:p w14:paraId="2ADE292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.3签订合同后，</w:t>
      </w:r>
      <w:r>
        <w:rPr>
          <w:rFonts w:hint="eastAsia" w:ascii="宋体" w:hAnsi="宋体" w:eastAsia="宋体" w:cs="宋体"/>
          <w:i w:val="0"/>
          <w:iCs/>
          <w:color w:val="auto"/>
          <w:sz w:val="24"/>
          <w:szCs w:val="24"/>
          <w:highlight w:val="none"/>
          <w:u w:val="none"/>
        </w:rPr>
        <w:t>成交供应商不得将合同标的进行转包</w:t>
      </w:r>
      <w:r>
        <w:rPr>
          <w:rFonts w:hint="eastAsia" w:ascii="宋体" w:hAnsi="宋体" w:cs="宋体"/>
          <w:i w:val="0"/>
          <w:iCs/>
          <w:color w:val="auto"/>
          <w:sz w:val="24"/>
          <w:szCs w:val="24"/>
          <w:highlight w:val="none"/>
          <w:u w:val="none"/>
          <w:lang w:val="en-US" w:eastAsia="zh-CN"/>
        </w:rPr>
        <w:t>或分包</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7D15F0EE">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31</w:t>
      </w:r>
      <w:r>
        <w:rPr>
          <w:rFonts w:hint="eastAsia" w:ascii="宋体" w:hAnsi="宋体" w:eastAsia="宋体" w:cs="宋体"/>
          <w:bCs/>
          <w:color w:val="auto"/>
          <w:sz w:val="24"/>
          <w:szCs w:val="24"/>
          <w:highlight w:val="none"/>
        </w:rPr>
        <w:t>、标的物的追加</w:t>
      </w:r>
    </w:p>
    <w:p w14:paraId="752D912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8"/>
      <w:bookmarkEnd w:id="149"/>
      <w:bookmarkEnd w:id="150"/>
    </w:p>
    <w:p w14:paraId="43752EA2">
      <w:pPr>
        <w:pageBreakBefore w:val="0"/>
        <w:widowControl w:val="0"/>
        <w:numPr>
          <w:ilvl w:val="0"/>
          <w:numId w:val="0"/>
        </w:numPr>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bookmarkStart w:id="151" w:name="_Toc513029242"/>
      <w:bookmarkStart w:id="152" w:name="_Toc20823314"/>
      <w:bookmarkStart w:id="153" w:name="_Toc16938558"/>
      <w:bookmarkStart w:id="154" w:name="_Toc479757207"/>
      <w:bookmarkStart w:id="155" w:name="_Toc120614221"/>
      <w:r>
        <w:rPr>
          <w:rFonts w:hint="eastAsia" w:ascii="宋体" w:hAnsi="宋体" w:eastAsia="宋体" w:cs="宋体"/>
          <w:bCs/>
          <w:color w:val="auto"/>
          <w:sz w:val="24"/>
          <w:szCs w:val="24"/>
          <w:highlight w:val="none"/>
          <w:lang w:val="en-US" w:eastAsia="zh-CN"/>
        </w:rPr>
        <w:t>32、</w:t>
      </w:r>
      <w:r>
        <w:rPr>
          <w:rFonts w:hint="eastAsia" w:ascii="宋体" w:hAnsi="宋体" w:eastAsia="宋体" w:cs="宋体"/>
          <w:bCs/>
          <w:color w:val="auto"/>
          <w:sz w:val="24"/>
          <w:szCs w:val="24"/>
          <w:highlight w:val="none"/>
        </w:rPr>
        <w:t>履约保证金</w:t>
      </w:r>
      <w:r>
        <w:rPr>
          <w:rFonts w:hint="eastAsia" w:ascii="宋体" w:hAnsi="宋体" w:cs="宋体"/>
          <w:bCs/>
          <w:color w:val="auto"/>
          <w:sz w:val="24"/>
          <w:szCs w:val="24"/>
          <w:highlight w:val="none"/>
          <w:lang w:eastAsia="zh-CN"/>
        </w:rPr>
        <w:t>：</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不收取履约保证金。</w:t>
      </w:r>
    </w:p>
    <w:p w14:paraId="32395B38">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、政府采购履约资金扶持政策</w:t>
      </w:r>
    </w:p>
    <w:p w14:paraId="6FA605E6">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1A8C0908">
      <w:pPr>
        <w:keepNext/>
        <w:keepLines/>
        <w:pageBreakBefore w:val="0"/>
        <w:widowControl w:val="0"/>
        <w:kinsoku/>
        <w:wordWrap/>
        <w:overflowPunct/>
        <w:topLinePunct w:val="0"/>
        <w:autoSpaceDE/>
        <w:autoSpaceDN/>
        <w:bidi w:val="0"/>
        <w:adjustRightInd/>
        <w:snapToGrid/>
        <w:spacing w:line="460" w:lineRule="exact"/>
        <w:ind w:left="0" w:firstLine="480" w:firstLineChars="20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34、验收</w:t>
      </w:r>
      <w:r>
        <w:rPr>
          <w:rFonts w:hint="eastAsia" w:ascii="宋体" w:hAnsi="宋体" w:cs="宋体"/>
          <w:color w:val="auto"/>
          <w:sz w:val="24"/>
          <w:szCs w:val="24"/>
          <w:highlight w:val="none"/>
          <w:lang w:val="en-US" w:eastAsia="zh-CN"/>
        </w:rPr>
        <w:t>：</w:t>
      </w:r>
      <w:r>
        <w:rPr>
          <w:rFonts w:hint="eastAsia" w:ascii="宋体" w:hAnsi="宋体" w:eastAsia="宋体" w:cs="宋体"/>
          <w:bCs/>
          <w:color w:val="auto"/>
          <w:sz w:val="24"/>
          <w:szCs w:val="24"/>
          <w:highlight w:val="none"/>
        </w:rPr>
        <w:t>采购人应当根据采购</w:t>
      </w:r>
      <w:r>
        <w:rPr>
          <w:rFonts w:hint="eastAsia" w:ascii="宋体" w:hAnsi="宋体" w:cs="宋体"/>
          <w:bCs/>
          <w:color w:val="auto"/>
          <w:sz w:val="24"/>
          <w:szCs w:val="24"/>
          <w:highlight w:val="none"/>
          <w:lang w:val="en-US" w:eastAsia="zh-CN"/>
        </w:rPr>
        <w:t>需求相关内容进行验收考核</w:t>
      </w:r>
      <w:r>
        <w:rPr>
          <w:rFonts w:hint="eastAsia" w:ascii="宋体" w:hAnsi="宋体" w:eastAsia="宋体" w:cs="宋体"/>
          <w:bCs/>
          <w:color w:val="auto"/>
          <w:sz w:val="24"/>
          <w:szCs w:val="24"/>
          <w:highlight w:val="none"/>
        </w:rPr>
        <w:t>。</w:t>
      </w:r>
    </w:p>
    <w:p w14:paraId="0DE0C9B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35、付款</w:t>
      </w:r>
      <w:r>
        <w:rPr>
          <w:rFonts w:hint="eastAsia" w:ascii="宋体" w:hAnsi="宋体" w:cs="宋体"/>
          <w:bCs/>
          <w:color w:val="auto"/>
          <w:sz w:val="24"/>
          <w:szCs w:val="24"/>
          <w:highlight w:val="none"/>
          <w:lang w:val="en-US" w:eastAsia="zh-CN"/>
        </w:rPr>
        <w:t>：详见采购需求付款方式</w:t>
      </w:r>
      <w:r>
        <w:rPr>
          <w:rFonts w:hint="eastAsia" w:ascii="宋体" w:hAnsi="宋体" w:eastAsia="宋体" w:cs="宋体"/>
          <w:b w:val="0"/>
          <w:bCs w:val="0"/>
          <w:color w:val="auto"/>
          <w:sz w:val="24"/>
          <w:szCs w:val="24"/>
          <w:highlight w:val="none"/>
        </w:rPr>
        <w:t>。</w:t>
      </w:r>
    </w:p>
    <w:p w14:paraId="271A3C6C">
      <w:pPr>
        <w:keepNext/>
        <w:jc w:val="center"/>
        <w:outlineLvl w:val="0"/>
        <w:rPr>
          <w:rFonts w:hint="eastAsia" w:ascii="宋体" w:hAnsi="宋体" w:eastAsia="宋体" w:cs="宋体"/>
          <w:b/>
          <w:bCs/>
          <w:color w:val="auto"/>
          <w:sz w:val="44"/>
          <w:szCs w:val="44"/>
          <w:highlight w:val="none"/>
        </w:rPr>
      </w:pPr>
      <w:r>
        <w:rPr>
          <w:rFonts w:hint="eastAsia" w:ascii="宋体" w:hAnsi="宋体" w:eastAsia="宋体" w:cs="宋体"/>
          <w:bCs/>
          <w:color w:val="auto"/>
          <w:sz w:val="44"/>
          <w:szCs w:val="28"/>
          <w:highlight w:val="none"/>
        </w:rPr>
        <w:br w:type="page" w:clear="all"/>
      </w:r>
      <w:r>
        <w:rPr>
          <w:rFonts w:hint="eastAsia" w:ascii="宋体" w:hAnsi="宋体" w:eastAsia="宋体" w:cs="宋体"/>
          <w:b/>
          <w:bCs/>
          <w:color w:val="auto"/>
          <w:sz w:val="44"/>
          <w:szCs w:val="44"/>
          <w:highlight w:val="none"/>
        </w:rPr>
        <w:t>第三章  采购需求</w:t>
      </w:r>
    </w:p>
    <w:p w14:paraId="6108467C">
      <w:pPr>
        <w:keepNext/>
        <w:ind w:firstLine="2640"/>
        <w:outlineLvl w:val="0"/>
        <w:rPr>
          <w:rFonts w:hint="eastAsia" w:ascii="宋体" w:hAnsi="宋体" w:eastAsia="宋体" w:cs="宋体"/>
          <w:bCs/>
          <w:color w:val="auto"/>
          <w:sz w:val="44"/>
          <w:szCs w:val="28"/>
          <w:highlight w:val="none"/>
        </w:rPr>
      </w:pPr>
    </w:p>
    <w:p w14:paraId="4B07A9D6">
      <w:pPr>
        <w:keepNext/>
        <w:jc w:val="center"/>
        <w:outlineLvl w:val="0"/>
        <w:rPr>
          <w:rFonts w:hint="eastAsia" w:ascii="仿宋" w:hAnsi="仿宋" w:eastAsia="宋体" w:cs="仿宋"/>
          <w:b/>
          <w:bCs/>
          <w:color w:val="000000"/>
          <w:sz w:val="28"/>
          <w:szCs w:val="28"/>
          <w:highlight w:val="none"/>
        </w:rPr>
      </w:pPr>
      <w:r>
        <w:rPr>
          <w:rFonts w:hint="eastAsia" w:ascii="仿宋" w:hAnsi="仿宋" w:cs="仿宋"/>
          <w:b/>
          <w:bCs/>
          <w:color w:val="000000"/>
          <w:sz w:val="28"/>
          <w:szCs w:val="28"/>
          <w:highlight w:val="none"/>
          <w:lang w:val="en-US" w:eastAsia="zh-CN"/>
        </w:rPr>
        <w:t>采购包1：</w:t>
      </w:r>
      <w:r>
        <w:rPr>
          <w:rFonts w:hint="eastAsia" w:ascii="仿宋" w:hAnsi="仿宋" w:eastAsia="宋体" w:cs="仿宋"/>
          <w:b/>
          <w:bCs/>
          <w:color w:val="000000"/>
          <w:sz w:val="28"/>
          <w:szCs w:val="28"/>
          <w:highlight w:val="none"/>
        </w:rPr>
        <w:t>沭阳县2026-2028年残疾儿童基本康复服务--视力康复</w:t>
      </w:r>
    </w:p>
    <w:p w14:paraId="0D896C44">
      <w:pPr>
        <w:keepNext/>
        <w:jc w:val="center"/>
        <w:outlineLvl w:val="0"/>
        <w:rPr>
          <w:rFonts w:hint="eastAsia" w:ascii="宋体" w:hAnsi="宋体" w:eastAsia="宋体" w:cs="宋体"/>
          <w:b/>
          <w:bCs/>
          <w:color w:val="auto"/>
          <w:sz w:val="28"/>
          <w:szCs w:val="28"/>
          <w:highlight w:val="none"/>
        </w:rPr>
      </w:pPr>
      <w:r>
        <w:rPr>
          <w:rFonts w:hint="eastAsia" w:ascii="仿宋" w:hAnsi="仿宋" w:eastAsia="宋体" w:cs="仿宋"/>
          <w:b/>
          <w:bCs/>
          <w:color w:val="000000"/>
          <w:sz w:val="28"/>
          <w:szCs w:val="28"/>
          <w:highlight w:val="none"/>
        </w:rPr>
        <w:t>服务机构采购项目</w:t>
      </w:r>
    </w:p>
    <w:p w14:paraId="3FEACDEF">
      <w:pPr>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项目属性：服务类项目。</w:t>
      </w:r>
    </w:p>
    <w:p w14:paraId="5D60872B">
      <w:pPr>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本项目采购标的对应的中小企业划分标准所属行业：其他未列明行业</w:t>
      </w:r>
    </w:p>
    <w:p w14:paraId="364DDC2F">
      <w:pPr>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本项目不接受进口产品。</w:t>
      </w:r>
    </w:p>
    <w:p w14:paraId="22FA93D6">
      <w:pPr>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一</w:t>
      </w:r>
      <w:r>
        <w:rPr>
          <w:rFonts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lang w:val="en-US" w:eastAsia="zh-CN"/>
        </w:rPr>
        <w:t>项目概况</w:t>
      </w:r>
    </w:p>
    <w:p w14:paraId="76CEC2B2">
      <w:pPr>
        <w:widowControl w:val="0"/>
        <w:spacing w:line="3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项目</w:t>
      </w:r>
      <w:r>
        <w:rPr>
          <w:rFonts w:hint="eastAsia" w:ascii="宋体" w:hAnsi="宋体" w:eastAsia="宋体" w:cs="宋体"/>
          <w:color w:val="000000"/>
          <w:sz w:val="24"/>
          <w:szCs w:val="24"/>
        </w:rPr>
        <w:t>名称：</w:t>
      </w:r>
      <w:r>
        <w:rPr>
          <w:rFonts w:hint="eastAsia" w:ascii="仿宋" w:hAnsi="仿宋" w:eastAsia="宋体" w:cs="仿宋"/>
          <w:color w:val="000000"/>
          <w:sz w:val="24"/>
          <w:szCs w:val="24"/>
          <w:highlight w:val="none"/>
        </w:rPr>
        <w:t>沭阳县2026-2028年残疾儿童基本康复服务--视力康复服务机构采购项目</w:t>
      </w:r>
    </w:p>
    <w:p w14:paraId="77D655DE">
      <w:pPr>
        <w:widowControl w:val="0"/>
        <w:spacing w:line="340" w:lineRule="exact"/>
        <w:ind w:firstLine="480"/>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2、采购内容：</w:t>
      </w:r>
      <w:r>
        <w:rPr>
          <w:rFonts w:hint="eastAsia" w:ascii="Times New Roman" w:hAnsi="Times New Roman" w:eastAsia="宋体" w:cs="仿宋"/>
          <w:color w:val="000000"/>
          <w:sz w:val="24"/>
          <w:szCs w:val="24"/>
          <w:highlight w:val="none"/>
        </w:rPr>
        <w:t>对具有</w:t>
      </w:r>
      <w:r>
        <w:rPr>
          <w:rFonts w:hint="eastAsia" w:ascii="Times New Roman" w:hAnsi="Times New Roman" w:eastAsia="宋体" w:cs="仿宋"/>
          <w:color w:val="000000"/>
          <w:sz w:val="24"/>
          <w:szCs w:val="24"/>
          <w:highlight w:val="none"/>
          <w:lang w:val="en-US" w:eastAsia="zh-CN"/>
        </w:rPr>
        <w:t>沭阳</w:t>
      </w:r>
      <w:r>
        <w:rPr>
          <w:rFonts w:hint="eastAsia" w:ascii="Times New Roman" w:hAnsi="Times New Roman" w:eastAsia="宋体" w:cs="仿宋"/>
          <w:color w:val="000000"/>
          <w:sz w:val="24"/>
          <w:szCs w:val="24"/>
          <w:highlight w:val="none"/>
        </w:rPr>
        <w:t>县户籍，有康复需求和康复意愿，经国内三级医院、县级以上残联指定的残疾评定机构或残疾评定专家组诊断评估有康复训练适应指征的视力残疾</w:t>
      </w:r>
      <w:r>
        <w:rPr>
          <w:rFonts w:hint="eastAsia" w:ascii="Times New Roman" w:hAnsi="Times New Roman" w:eastAsia="宋体" w:cs="仿宋"/>
          <w:color w:val="000000"/>
          <w:sz w:val="24"/>
          <w:szCs w:val="24"/>
          <w:highlight w:val="none"/>
          <w:lang w:val="en-US" w:eastAsia="zh-CN"/>
        </w:rPr>
        <w:t>儿童</w:t>
      </w:r>
      <w:r>
        <w:rPr>
          <w:rFonts w:hint="eastAsia" w:ascii="Times New Roman" w:hAnsi="Times New Roman" w:eastAsia="宋体" w:cs="仿宋"/>
          <w:color w:val="000000"/>
          <w:sz w:val="24"/>
          <w:szCs w:val="24"/>
          <w:highlight w:val="none"/>
        </w:rPr>
        <w:t>开展基本康复服务</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rPr>
        <w:t>各残疾儿童可在</w:t>
      </w:r>
      <w:r>
        <w:rPr>
          <w:rFonts w:hint="eastAsia" w:ascii="Times New Roman" w:hAnsi="Times New Roman" w:eastAsia="宋体" w:cs="仿宋"/>
          <w:color w:val="000000"/>
          <w:sz w:val="24"/>
          <w:szCs w:val="24"/>
          <w:lang w:val="en-US" w:eastAsia="zh-CN"/>
        </w:rPr>
        <w:t>沭阳</w:t>
      </w:r>
      <w:r>
        <w:rPr>
          <w:rFonts w:hint="eastAsia" w:ascii="Times New Roman" w:hAnsi="Times New Roman" w:eastAsia="宋体" w:cs="仿宋"/>
          <w:color w:val="000000"/>
          <w:sz w:val="24"/>
          <w:szCs w:val="24"/>
        </w:rPr>
        <w:t>县残疾人联合会招标</w:t>
      </w:r>
      <w:r>
        <w:rPr>
          <w:rFonts w:hint="eastAsia" w:ascii="Times New Roman" w:hAnsi="Times New Roman" w:eastAsia="宋体" w:cs="仿宋"/>
          <w:color w:val="000000"/>
          <w:sz w:val="24"/>
          <w:szCs w:val="24"/>
          <w:highlight w:val="none"/>
        </w:rPr>
        <w:t>选定</w:t>
      </w:r>
      <w:r>
        <w:rPr>
          <w:rFonts w:hint="eastAsia" w:ascii="Times New Roman" w:hAnsi="Times New Roman" w:eastAsia="宋体" w:cs="仿宋"/>
          <w:color w:val="000000"/>
          <w:sz w:val="24"/>
          <w:szCs w:val="24"/>
          <w:highlight w:val="none"/>
          <w:lang w:val="en-US" w:eastAsia="zh-CN"/>
        </w:rPr>
        <w:t>的沭阳</w:t>
      </w:r>
      <w:r>
        <w:rPr>
          <w:rFonts w:hint="eastAsia" w:ascii="Times New Roman" w:hAnsi="Times New Roman" w:eastAsia="宋体" w:cs="仿宋"/>
          <w:color w:val="000000"/>
          <w:sz w:val="24"/>
          <w:szCs w:val="24"/>
          <w:highlight w:val="none"/>
        </w:rPr>
        <w:t>县残疾儿童定点康复服务机构中自主选择相应类别的定点机构进行康复训练</w:t>
      </w:r>
      <w:r>
        <w:rPr>
          <w:rFonts w:hint="eastAsia" w:ascii="Times New Roman" w:hAnsi="Times New Roman" w:eastAsia="宋体" w:cs="仿宋"/>
          <w:color w:val="000000"/>
          <w:sz w:val="24"/>
          <w:szCs w:val="24"/>
        </w:rPr>
        <w:t>。</w:t>
      </w:r>
      <w:r>
        <w:rPr>
          <w:rFonts w:hint="eastAsia" w:ascii="Times New Roman" w:hAnsi="Times New Roman" w:eastAsia="宋体" w:cs="仿宋"/>
          <w:color w:val="000000"/>
          <w:sz w:val="24"/>
          <w:szCs w:val="24"/>
          <w:highlight w:val="none"/>
        </w:rPr>
        <w:t>具体内容以招标文件为准</w:t>
      </w:r>
      <w:r>
        <w:rPr>
          <w:rFonts w:hint="eastAsia" w:ascii="Times New Roman" w:hAnsi="Times New Roman" w:eastAsia="宋体" w:cs="仿宋"/>
          <w:color w:val="000000"/>
          <w:sz w:val="24"/>
          <w:szCs w:val="24"/>
        </w:rPr>
        <w:t>（本项目以实际发生的服务进行结算）</w:t>
      </w:r>
      <w:r>
        <w:rPr>
          <w:rFonts w:hint="eastAsia" w:ascii="Times New Roman" w:hAnsi="Times New Roman" w:eastAsia="宋体" w:cs="仿宋"/>
          <w:color w:val="000000"/>
          <w:sz w:val="24"/>
          <w:szCs w:val="24"/>
          <w:lang w:eastAsia="zh-CN"/>
        </w:rPr>
        <w:t>。</w:t>
      </w:r>
    </w:p>
    <w:p w14:paraId="0B851ED4">
      <w:pPr>
        <w:widowControl w:val="0"/>
        <w:spacing w:line="340" w:lineRule="exact"/>
        <w:ind w:firstLine="480"/>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rPr>
        <w:t>期：</w:t>
      </w:r>
      <w:r>
        <w:rPr>
          <w:rFonts w:hint="eastAsia" w:ascii="Times New Roman" w:hAnsi="Times New Roman" w:eastAsia="宋体" w:cs="仿宋"/>
          <w:color w:val="000000"/>
          <w:sz w:val="24"/>
          <w:szCs w:val="24"/>
        </w:rPr>
        <w:t>自合同签订之日</w:t>
      </w:r>
      <w:r>
        <w:rPr>
          <w:rFonts w:hint="eastAsia" w:ascii="Times New Roman" w:hAnsi="Times New Roman" w:eastAsia="宋体" w:cs="仿宋"/>
          <w:color w:val="000000"/>
          <w:sz w:val="24"/>
          <w:szCs w:val="24"/>
          <w:highlight w:val="none"/>
        </w:rPr>
        <w:t>起3年</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color w:val="000000"/>
          <w:sz w:val="24"/>
          <w:szCs w:val="24"/>
          <w:highlight w:val="none"/>
          <w:lang w:val="en-US" w:eastAsia="zh-CN"/>
        </w:rPr>
        <w:t>合同一年一签</w:t>
      </w:r>
      <w:r>
        <w:rPr>
          <w:rFonts w:hint="eastAsia" w:ascii="Times New Roman" w:hAnsi="Times New Roman" w:eastAsia="宋体" w:cs="仿宋"/>
          <w:color w:val="000000"/>
          <w:sz w:val="24"/>
          <w:szCs w:val="24"/>
          <w:highlight w:val="none"/>
          <w:lang w:eastAsia="zh-CN"/>
        </w:rPr>
        <w:t>）。</w:t>
      </w:r>
    </w:p>
    <w:p w14:paraId="0D664DAC">
      <w:pPr>
        <w:widowControl w:val="0"/>
        <w:spacing w:line="340" w:lineRule="exact"/>
        <w:ind w:firstLine="482"/>
        <w:rPr>
          <w:rFonts w:ascii="Times New Roman" w:hAnsi="Times New Roman" w:eastAsia="宋体" w:cs="仿宋"/>
          <w:color w:val="000000"/>
          <w:sz w:val="24"/>
        </w:rPr>
      </w:pPr>
      <w:r>
        <w:rPr>
          <w:rFonts w:hint="eastAsia" w:ascii="宋体" w:hAnsi="宋体" w:eastAsia="宋体" w:cs="宋体"/>
          <w:b w:val="0"/>
          <w:bCs w:val="0"/>
          <w:color w:val="000000"/>
          <w:sz w:val="24"/>
          <w:szCs w:val="24"/>
          <w:highlight w:val="none"/>
          <w:lang w:val="en-US" w:eastAsia="zh-CN"/>
        </w:rPr>
        <w:t>4、</w:t>
      </w:r>
      <w:r>
        <w:rPr>
          <w:rFonts w:hint="eastAsia" w:ascii="Times New Roman" w:hAnsi="Times New Roman" w:eastAsia="宋体" w:cs="仿宋"/>
          <w:b/>
          <w:color w:val="000000"/>
          <w:sz w:val="24"/>
        </w:rPr>
        <w:t>费用标准、结算与付款方式：</w:t>
      </w:r>
    </w:p>
    <w:p w14:paraId="1AB19A92">
      <w:pPr>
        <w:widowControl w:val="0"/>
        <w:spacing w:line="340" w:lineRule="exact"/>
        <w:ind w:firstLine="482"/>
        <w:rPr>
          <w:rFonts w:hint="eastAsia" w:ascii="Times New Roman" w:hAnsi="Times New Roman" w:eastAsia="宋体" w:cs="仿宋"/>
          <w:color w:val="000000"/>
          <w:sz w:val="24"/>
          <w:lang w:eastAsia="zh-CN"/>
        </w:rPr>
      </w:pP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lang w:val="en-US" w:eastAsia="zh-CN"/>
        </w:rPr>
        <w:t>1</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费用标准：</w:t>
      </w:r>
    </w:p>
    <w:p w14:paraId="0716B699">
      <w:pPr>
        <w:widowControl w:val="0"/>
        <w:spacing w:line="340" w:lineRule="exact"/>
        <w:ind w:firstLine="480"/>
        <w:rPr>
          <w:rFonts w:ascii="Times New Roman" w:hAnsi="Times New Roman" w:eastAsia="宋体" w:cs="仿宋"/>
          <w:color w:val="000000"/>
          <w:sz w:val="24"/>
          <w:szCs w:val="24"/>
        </w:rPr>
      </w:pPr>
      <w:r>
        <w:rPr>
          <w:rFonts w:hint="eastAsia" w:ascii="Times New Roman" w:hAnsi="Times New Roman" w:eastAsia="宋体" w:cs="仿宋"/>
          <w:color w:val="000000"/>
          <w:sz w:val="24"/>
          <w:szCs w:val="24"/>
          <w:lang w:val="en-US" w:eastAsia="zh-CN"/>
        </w:rPr>
        <w:t>视</w:t>
      </w:r>
      <w:r>
        <w:rPr>
          <w:rFonts w:hint="eastAsia" w:ascii="Times New Roman" w:hAnsi="Times New Roman" w:eastAsia="宋体" w:cs="仿宋"/>
          <w:color w:val="000000"/>
          <w:sz w:val="24"/>
          <w:szCs w:val="24"/>
        </w:rPr>
        <w:t>力康复服务，0-6周岁残疾儿童</w:t>
      </w:r>
      <w:r>
        <w:rPr>
          <w:rFonts w:hint="eastAsia" w:ascii="Times New Roman" w:hAnsi="Times New Roman" w:eastAsia="宋体" w:cs="仿宋"/>
          <w:color w:val="000000"/>
          <w:sz w:val="24"/>
          <w:szCs w:val="24"/>
          <w:lang w:val="en-US" w:eastAsia="zh-CN"/>
        </w:rPr>
        <w:t>0.5万</w:t>
      </w:r>
      <w:r>
        <w:rPr>
          <w:rFonts w:hint="eastAsia" w:ascii="Times New Roman" w:hAnsi="Times New Roman" w:eastAsia="宋体" w:cs="仿宋"/>
          <w:color w:val="000000"/>
          <w:sz w:val="24"/>
          <w:szCs w:val="24"/>
        </w:rPr>
        <w:t>元/人/年，1年按满额服务9个月计。</w:t>
      </w:r>
    </w:p>
    <w:p w14:paraId="7751BAF6">
      <w:pPr>
        <w:widowControl w:val="0"/>
        <w:spacing w:line="340" w:lineRule="exact"/>
        <w:ind w:firstLine="480"/>
        <w:rPr>
          <w:rFonts w:hint="default" w:ascii="Times New Roman" w:hAnsi="Times New Roman" w:eastAsia="宋体" w:cs="仿宋"/>
          <w:b/>
          <w:bCs/>
          <w:color w:val="FF0000"/>
          <w:sz w:val="24"/>
          <w:szCs w:val="24"/>
          <w:highlight w:val="none"/>
          <w:lang w:val="en-US" w:eastAsia="zh-CN"/>
        </w:rPr>
      </w:pPr>
      <w:r>
        <w:rPr>
          <w:rFonts w:hint="eastAsia" w:ascii="Times New Roman" w:hAnsi="Times New Roman" w:eastAsia="宋体" w:cs="仿宋"/>
          <w:b/>
          <w:bCs/>
          <w:color w:val="FF0000"/>
          <w:sz w:val="24"/>
          <w:szCs w:val="24"/>
          <w:highlight w:val="none"/>
          <w:lang w:eastAsia="zh-CN"/>
        </w:rPr>
        <w:t>（</w:t>
      </w:r>
      <w:r>
        <w:rPr>
          <w:rFonts w:hint="eastAsia" w:ascii="Times New Roman" w:hAnsi="Times New Roman" w:eastAsia="宋体" w:cs="仿宋"/>
          <w:b/>
          <w:bCs/>
          <w:color w:val="FF0000"/>
          <w:sz w:val="24"/>
          <w:szCs w:val="24"/>
          <w:highlight w:val="none"/>
        </w:rPr>
        <w:t>本项目执行类别补助标准，不议价，在投标文件制作时，</w:t>
      </w:r>
      <w:r>
        <w:rPr>
          <w:rFonts w:hint="eastAsia" w:ascii="Times New Roman" w:hAnsi="Times New Roman" w:eastAsia="宋体" w:cs="仿宋"/>
          <w:b/>
          <w:bCs/>
          <w:color w:val="FF0000"/>
          <w:sz w:val="24"/>
          <w:szCs w:val="24"/>
          <w:highlight w:val="none"/>
          <w:lang w:val="en-US" w:eastAsia="zh-CN"/>
        </w:rPr>
        <w:t>只需要单价报价，</w:t>
      </w:r>
      <w:r>
        <w:rPr>
          <w:rFonts w:hint="eastAsia" w:ascii="Times New Roman" w:hAnsi="Times New Roman" w:eastAsia="宋体" w:cs="仿宋"/>
          <w:b/>
          <w:bCs/>
          <w:color w:val="FF0000"/>
          <w:sz w:val="24"/>
          <w:szCs w:val="24"/>
          <w:highlight w:val="none"/>
        </w:rPr>
        <w:t>在单一来源报价表中“单价”统一填入</w:t>
      </w:r>
      <w:r>
        <w:rPr>
          <w:rFonts w:hint="eastAsia" w:ascii="Times New Roman" w:hAnsi="Times New Roman" w:cs="仿宋"/>
          <w:b/>
          <w:bCs/>
          <w:color w:val="FF0000"/>
          <w:sz w:val="24"/>
          <w:szCs w:val="24"/>
          <w:highlight w:val="none"/>
          <w:lang w:val="en-US" w:eastAsia="zh-CN"/>
        </w:rPr>
        <w:t>0.5万元</w:t>
      </w:r>
      <w:r>
        <w:rPr>
          <w:rFonts w:hint="eastAsia" w:ascii="Times New Roman" w:hAnsi="Times New Roman" w:eastAsia="宋体" w:cs="仿宋"/>
          <w:b/>
          <w:bCs/>
          <w:color w:val="FF0000"/>
          <w:sz w:val="24"/>
          <w:szCs w:val="24"/>
          <w:highlight w:val="none"/>
          <w:lang w:eastAsia="zh-CN"/>
        </w:rPr>
        <w:t>）</w:t>
      </w:r>
    </w:p>
    <w:p w14:paraId="4CF03098">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（2）结算：</w:t>
      </w:r>
    </w:p>
    <w:p w14:paraId="561586A6">
      <w:pPr>
        <w:widowControl w:val="0"/>
        <w:spacing w:line="340" w:lineRule="exact"/>
        <w:ind w:firstLine="480"/>
        <w:rPr>
          <w:rFonts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szCs w:val="24"/>
          <w:lang w:val="en-US" w:eastAsia="zh-CN"/>
        </w:rPr>
        <w:t>视力康复服务结算价=0.5万元/人/年*实际提供康复服务时间【实际提供康复服务月（日）】；注：前述月（日）须折算成对应的固定单价</w:t>
      </w:r>
      <w:r>
        <w:rPr>
          <w:rFonts w:hint="eastAsia" w:ascii="Times New Roman" w:hAnsi="Times New Roman" w:eastAsia="宋体" w:cs="仿宋"/>
          <w:b w:val="0"/>
          <w:bCs w:val="0"/>
          <w:color w:val="auto"/>
          <w:sz w:val="24"/>
          <w:szCs w:val="24"/>
          <w:lang w:val="en-US" w:eastAsia="zh-CN"/>
        </w:rPr>
        <w:t>中的</w:t>
      </w:r>
      <w:r>
        <w:rPr>
          <w:rFonts w:hint="eastAsia" w:ascii="Times New Roman" w:hAnsi="Times New Roman" w:cs="仿宋"/>
          <w:b w:val="0"/>
          <w:bCs w:val="0"/>
          <w:color w:val="auto"/>
          <w:sz w:val="24"/>
          <w:szCs w:val="24"/>
          <w:lang w:val="en-US" w:eastAsia="zh-CN"/>
        </w:rPr>
        <w:t>月</w:t>
      </w:r>
      <w:r>
        <w:rPr>
          <w:rFonts w:hint="eastAsia" w:ascii="Times New Roman" w:hAnsi="Times New Roman" w:eastAsia="宋体" w:cs="仿宋"/>
          <w:color w:val="000000"/>
          <w:sz w:val="24"/>
          <w:szCs w:val="24"/>
          <w:lang w:val="en-US" w:eastAsia="zh-CN"/>
        </w:rPr>
        <w:t>，此处1年按满额服务9个月计。</w:t>
      </w:r>
    </w:p>
    <w:p w14:paraId="13673811">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转介到异地</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lang w:val="en-US" w:eastAsia="zh-CN"/>
        </w:rPr>
        <w:t>含市外</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的受助儿童康复服务经费结算，原则上按户籍地救助标准执行，户籍地救助标准高于服务承接地标准时，按服务承接地救助标准执行。</w:t>
      </w:r>
    </w:p>
    <w:p w14:paraId="7CED16CA">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w:t>
      </w:r>
      <w:r>
        <w:rPr>
          <w:rFonts w:hint="eastAsia" w:ascii="Times New Roman" w:hAnsi="Times New Roman" w:eastAsia="宋体" w:cs="仿宋"/>
          <w:color w:val="000000"/>
          <w:sz w:val="24"/>
          <w:lang w:val="en-US" w:eastAsia="zh-CN"/>
        </w:rPr>
        <w:t>3</w:t>
      </w:r>
      <w:r>
        <w:rPr>
          <w:rFonts w:hint="eastAsia" w:ascii="Times New Roman" w:hAnsi="Times New Roman" w:eastAsia="宋体" w:cs="仿宋"/>
          <w:color w:val="000000"/>
          <w:sz w:val="24"/>
        </w:rPr>
        <w:t>）付款方式：</w:t>
      </w:r>
    </w:p>
    <w:p w14:paraId="263FFE02">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预付款：</w:t>
      </w:r>
      <w:r>
        <w:rPr>
          <w:rFonts w:hint="eastAsia" w:ascii="Times New Roman" w:hAnsi="Times New Roman" w:eastAsia="宋体" w:cs="仿宋"/>
          <w:color w:val="000000"/>
          <w:sz w:val="24"/>
          <w:lang w:val="en-US" w:eastAsia="zh-CN"/>
        </w:rPr>
        <w:t>合同签订且收到供应商发票后15个工作日内预付合同总价款的10%</w:t>
      </w:r>
      <w:r>
        <w:rPr>
          <w:rFonts w:hint="eastAsia" w:ascii="Times New Roman" w:hAnsi="Times New Roman" w:eastAsia="宋体" w:cs="仿宋"/>
          <w:color w:val="000000"/>
          <w:sz w:val="24"/>
        </w:rPr>
        <w:t xml:space="preserve">； </w:t>
      </w:r>
    </w:p>
    <w:p w14:paraId="687F2E25">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5</w:t>
      </w:r>
      <w:r>
        <w:rPr>
          <w:rFonts w:hint="eastAsia" w:ascii="Times New Roman" w:hAnsi="Times New Roman" w:eastAsia="宋体" w:cs="仿宋"/>
          <w:color w:val="000000"/>
          <w:sz w:val="24"/>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771EC05D">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（注：在签订合同时，中标人明确表示无需预付款或者主动要求降低预付款比例的金额，采购人可不适用预付款规定。）</w:t>
      </w:r>
    </w:p>
    <w:p w14:paraId="14F8673F">
      <w:pPr>
        <w:widowControl w:val="0"/>
        <w:spacing w:line="340" w:lineRule="exact"/>
        <w:ind w:firstLine="480"/>
        <w:rPr>
          <w:rFonts w:hint="eastAsia" w:ascii="宋体" w:hAnsi="宋体" w:eastAsia="宋体" w:cs="宋体"/>
          <w:color w:val="000000"/>
          <w:sz w:val="24"/>
          <w:szCs w:val="24"/>
        </w:rPr>
      </w:pPr>
    </w:p>
    <w:p w14:paraId="1A9FA1C5">
      <w:pPr>
        <w:widowControl w:val="0"/>
        <w:spacing w:line="340" w:lineRule="exact"/>
        <w:ind w:firstLine="482"/>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二、服务对象</w:t>
      </w:r>
    </w:p>
    <w:p w14:paraId="6AFC5D48">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1、</w:t>
      </w:r>
      <w:r>
        <w:rPr>
          <w:rFonts w:hint="eastAsia" w:ascii="Times New Roman" w:hAnsi="Times New Roman" w:eastAsia="宋体" w:cs="仿宋"/>
          <w:b/>
          <w:color w:val="000000"/>
          <w:sz w:val="24"/>
        </w:rPr>
        <w:t>基本康复服务对象</w:t>
      </w:r>
      <w:r>
        <w:rPr>
          <w:rFonts w:hint="eastAsia" w:ascii="Times New Roman" w:hAnsi="Times New Roman" w:eastAsia="宋体" w:cs="仿宋"/>
          <w:color w:val="000000"/>
          <w:sz w:val="24"/>
        </w:rPr>
        <w:t>，是指具有</w:t>
      </w:r>
      <w:r>
        <w:rPr>
          <w:rFonts w:hint="eastAsia" w:ascii="Times New Roman" w:hAnsi="Times New Roman" w:eastAsia="宋体" w:cs="仿宋"/>
          <w:color w:val="000000"/>
          <w:sz w:val="24"/>
          <w:lang w:eastAsia="zh-CN"/>
        </w:rPr>
        <w:t>沭阳</w:t>
      </w:r>
      <w:r>
        <w:rPr>
          <w:rFonts w:hint="eastAsia" w:ascii="Times New Roman" w:hAnsi="Times New Roman" w:eastAsia="宋体" w:cs="仿宋"/>
          <w:color w:val="000000"/>
          <w:sz w:val="24"/>
        </w:rPr>
        <w:t>县户籍，有康复需求和康复意愿，经国内三级医院、县级以上残联指定的残疾评定机构或残疾评定专家组诊断评估有康复训练适应指征的0-6周岁</w:t>
      </w:r>
      <w:r>
        <w:rPr>
          <w:rFonts w:hint="eastAsia" w:ascii="Times New Roman" w:hAnsi="Times New Roman" w:eastAsia="宋体" w:cs="仿宋"/>
          <w:color w:val="000000"/>
          <w:sz w:val="24"/>
          <w:lang w:val="en-US" w:eastAsia="zh-CN"/>
        </w:rPr>
        <w:t>视力</w:t>
      </w:r>
      <w:r>
        <w:rPr>
          <w:rFonts w:hint="eastAsia" w:ascii="Times New Roman" w:hAnsi="Times New Roman" w:eastAsia="宋体" w:cs="仿宋"/>
          <w:color w:val="000000"/>
          <w:sz w:val="24"/>
        </w:rPr>
        <w:t>残疾儿童康复训练儿童。</w:t>
      </w:r>
    </w:p>
    <w:p w14:paraId="611A8295">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经国内三级医院相应科室副主任医师以上职称的医师诊断为视力发育功能障碍。</w:t>
      </w:r>
      <w:r>
        <w:rPr>
          <w:rFonts w:hint="eastAsia" w:ascii="Times New Roman" w:hAnsi="Times New Roman" w:eastAsia="宋体" w:cs="仿宋"/>
          <w:color w:val="000000"/>
          <w:sz w:val="24"/>
        </w:rPr>
        <w:t>确需接受康复训练的儿童，由医院出具医学诊断证明书。医学诊断证明书须注明需要康复的类别，加盖医院诊断专用章。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首次申请康复救助的医学诊断证明书，视力障碍自开具之日起1年内有效；</w:t>
      </w:r>
      <w:r>
        <w:rPr>
          <w:rFonts w:hint="eastAsia" w:ascii="Times New Roman" w:hAnsi="Times New Roman" w:eastAsia="宋体" w:cs="仿宋"/>
          <w:color w:val="000000"/>
          <w:sz w:val="24"/>
        </w:rPr>
        <w:t>医学诊断证明书表述模糊不清、未注明需要康复类别的，县级以上残联应组织复筛复查。</w:t>
      </w:r>
    </w:p>
    <w:p w14:paraId="38DC6148">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疑似残疾的</w:t>
      </w:r>
      <w:r>
        <w:rPr>
          <w:rFonts w:hint="eastAsia" w:ascii="Times New Roman" w:hAnsi="Times New Roman" w:eastAsia="宋体" w:cs="仿宋"/>
          <w:color w:val="000000"/>
          <w:sz w:val="24"/>
          <w:lang w:val="en-US" w:eastAsia="zh-CN"/>
        </w:rPr>
        <w:t>视力</w:t>
      </w:r>
      <w:r>
        <w:rPr>
          <w:rFonts w:hint="eastAsia" w:ascii="Times New Roman" w:hAnsi="Times New Roman" w:eastAsia="宋体" w:cs="仿宋"/>
          <w:color w:val="000000"/>
          <w:sz w:val="24"/>
        </w:rPr>
        <w:t>发育功能障碍</w:t>
      </w:r>
      <w:r>
        <w:rPr>
          <w:rFonts w:hint="eastAsia" w:ascii="Times New Roman" w:hAnsi="Times New Roman" w:eastAsia="宋体" w:cs="仿宋"/>
          <w:color w:val="000000"/>
          <w:sz w:val="24"/>
          <w:lang w:val="en-US" w:eastAsia="zh-CN"/>
        </w:rPr>
        <w:t>儿童</w:t>
      </w:r>
      <w:r>
        <w:rPr>
          <w:rFonts w:hint="eastAsia" w:ascii="Times New Roman" w:hAnsi="Times New Roman" w:eastAsia="宋体" w:cs="仿宋"/>
          <w:color w:val="000000"/>
          <w:sz w:val="24"/>
        </w:rPr>
        <w:t>，其监护人可向户籍地县级残联申请残疾评定。符合残疾评定标准的，残疾评定表中应注明残疾类别和分级，由户籍地县级残联盖章确认。</w:t>
      </w:r>
    </w:p>
    <w:p w14:paraId="6EFAEC44">
      <w:pPr>
        <w:widowControl w:val="0"/>
        <w:spacing w:line="340" w:lineRule="exact"/>
        <w:ind w:firstLine="482"/>
        <w:rPr>
          <w:rFonts w:hint="eastAsia" w:ascii="Times New Roman" w:hAnsi="Times New Roman" w:eastAsia="宋体" w:cs="仿宋"/>
          <w:color w:val="000000"/>
          <w:sz w:val="24"/>
        </w:rPr>
      </w:pPr>
      <w:r>
        <w:rPr>
          <w:rFonts w:hint="eastAsia" w:ascii="Times New Roman" w:hAnsi="Times New Roman" w:eastAsia="宋体" w:cs="仿宋"/>
          <w:color w:val="000000"/>
          <w:sz w:val="24"/>
        </w:rPr>
        <w:t>2、申请康复救助需提供残疾儿童户籍证明</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身份证</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资料、医学诊断证明书</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残疾评定表、残疾人证</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w:t>
      </w:r>
    </w:p>
    <w:p w14:paraId="3D7D0247">
      <w:pPr>
        <w:widowControl w:val="0"/>
        <w:spacing w:line="340" w:lineRule="exact"/>
        <w:ind w:firstLine="482"/>
        <w:rPr>
          <w:rFonts w:ascii="Times New Roman" w:hAnsi="Times New Roman" w:eastAsia="宋体" w:cs="仿宋"/>
          <w:b/>
          <w:color w:val="000000"/>
          <w:sz w:val="24"/>
        </w:rPr>
      </w:pPr>
      <w:r>
        <w:rPr>
          <w:rFonts w:hint="eastAsia" w:ascii="Times New Roman" w:hAnsi="Times New Roman" w:eastAsia="宋体" w:cs="仿宋"/>
          <w:color w:val="000000"/>
          <w:sz w:val="24"/>
          <w:lang w:val="en-US" w:eastAsia="zh-CN"/>
        </w:rPr>
        <w:t>3、</w:t>
      </w:r>
      <w:r>
        <w:rPr>
          <w:rFonts w:hint="eastAsia" w:ascii="Times New Roman" w:hAnsi="Times New Roman" w:eastAsia="宋体" w:cs="仿宋"/>
          <w:color w:val="000000"/>
          <w:sz w:val="24"/>
        </w:rPr>
        <w:t>县级残联应与当地教育部门建立信息共享机制，及时通报达到义务教育入学年龄仍在机构接受康复服务的儿童信息。</w:t>
      </w:r>
    </w:p>
    <w:p w14:paraId="43C58BA9">
      <w:pPr>
        <w:widowControl w:val="0"/>
        <w:spacing w:line="340" w:lineRule="exact"/>
        <w:ind w:firstLine="482"/>
        <w:rPr>
          <w:rFonts w:hint="eastAsia" w:ascii="宋体" w:hAnsi="宋体" w:eastAsia="宋体" w:cs="Times New Roman"/>
          <w:b/>
          <w:color w:val="000000"/>
          <w:sz w:val="24"/>
          <w:szCs w:val="24"/>
          <w:highlight w:val="none"/>
          <w:lang w:val="en-US" w:eastAsia="zh-CN"/>
        </w:rPr>
      </w:pPr>
    </w:p>
    <w:p w14:paraId="1531D41E">
      <w:pPr>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三、服务目标与内容</w:t>
      </w:r>
    </w:p>
    <w:p w14:paraId="334D5AD6">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1、服务目标与标准：本项目基本康复服务着眼改善和提高</w:t>
      </w:r>
      <w:r>
        <w:rPr>
          <w:rFonts w:hint="eastAsia" w:ascii="Times New Roman" w:hAnsi="Times New Roman" w:eastAsia="宋体" w:cs="仿宋"/>
          <w:sz w:val="24"/>
          <w:lang w:val="en-US" w:eastAsia="zh-CN"/>
        </w:rPr>
        <w:t>视力</w:t>
      </w:r>
      <w:r>
        <w:rPr>
          <w:rFonts w:hint="eastAsia" w:ascii="Times New Roman" w:hAnsi="Times New Roman" w:eastAsia="宋体" w:cs="仿宋"/>
          <w:sz w:val="24"/>
        </w:rPr>
        <w:t>残疾儿童感知、运动、认知、言语沟通、情绪管理、生活自理、社会交往等能力。</w:t>
      </w:r>
    </w:p>
    <w:p w14:paraId="07DC4378">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2、</w:t>
      </w:r>
      <w:r>
        <w:rPr>
          <w:rFonts w:hint="eastAsia" w:ascii="Times New Roman" w:hAnsi="Times New Roman" w:eastAsia="宋体" w:cs="仿宋"/>
          <w:b/>
          <w:sz w:val="24"/>
        </w:rPr>
        <w:t>服务项目内容与范围：</w:t>
      </w:r>
      <w:r>
        <w:rPr>
          <w:rFonts w:hint="eastAsia" w:ascii="Times New Roman" w:hAnsi="Times New Roman" w:eastAsia="宋体" w:cs="仿宋"/>
          <w:sz w:val="24"/>
        </w:rPr>
        <w:t>按照《江苏省残疾人基本康复服务目录》提供与年龄和残疾类别相适应的康复训练、康复医疗、辅助器具适配和支持性服务，并向残疾儿童及其家庭提供康复评估、康复咨询、康复指导和康复宣传服务。</w:t>
      </w:r>
    </w:p>
    <w:p w14:paraId="59C06618">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3、</w:t>
      </w:r>
      <w:r>
        <w:rPr>
          <w:rFonts w:hint="eastAsia" w:ascii="Times New Roman" w:hAnsi="Times New Roman" w:eastAsia="宋体" w:cs="仿宋"/>
          <w:b/>
          <w:sz w:val="24"/>
        </w:rPr>
        <w:t>服务时间安排：</w:t>
      </w:r>
    </w:p>
    <w:p w14:paraId="27D09001">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（1）为保证康复效果连续有效，政府购买的残疾儿童基本康复服务应在机构内进行，年度基本康复时间不少于9个月。执行与教育部门同步学期规定的公办机构（特教学校）可延至次年1月31日。</w:t>
      </w:r>
    </w:p>
    <w:p w14:paraId="106468A4">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（2）基本康复服务形式分全日制和非全日制两种类型，残疾儿童监护人可自主选择服务类型。</w:t>
      </w:r>
    </w:p>
    <w:p w14:paraId="2ECD1CB9">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全日制是指残疾儿童在定点机构内同步接受康复服务和学前（学科）教育。</w:t>
      </w:r>
      <w:r>
        <w:rPr>
          <w:rFonts w:hint="eastAsia" w:ascii="Times New Roman" w:hAnsi="Times New Roman" w:eastAsia="宋体" w:cs="仿宋"/>
          <w:sz w:val="24"/>
          <w:highlight w:val="none"/>
        </w:rPr>
        <w:t>在当月法定工作（学习）日，接受</w:t>
      </w:r>
      <w:r>
        <w:rPr>
          <w:rFonts w:hint="eastAsia" w:ascii="Times New Roman" w:hAnsi="Times New Roman" w:eastAsia="宋体" w:cs="仿宋"/>
          <w:color w:val="000000"/>
          <w:sz w:val="24"/>
          <w:highlight w:val="none"/>
        </w:rPr>
        <w:t>每天4小时</w:t>
      </w:r>
      <w:r>
        <w:rPr>
          <w:rFonts w:hint="eastAsia" w:ascii="Times New Roman" w:hAnsi="Times New Roman" w:eastAsia="宋体" w:cs="仿宋"/>
          <w:sz w:val="24"/>
          <w:highlight w:val="none"/>
        </w:rPr>
        <w:t>的基</w:t>
      </w:r>
      <w:r>
        <w:rPr>
          <w:rFonts w:hint="eastAsia" w:ascii="Times New Roman" w:hAnsi="Times New Roman" w:eastAsia="宋体" w:cs="仿宋"/>
          <w:sz w:val="24"/>
        </w:rPr>
        <w:t>本康复服务，课程设置应符合残疾儿童个性特征，其中个性化服务支持每天不少于1节课40分钟。</w:t>
      </w:r>
    </w:p>
    <w:p w14:paraId="24EDF148">
      <w:pPr>
        <w:widowControl w:val="0"/>
        <w:spacing w:line="340" w:lineRule="exact"/>
        <w:ind w:firstLine="482"/>
        <w:rPr>
          <w:rFonts w:hint="eastAsia" w:ascii="Times New Roman" w:hAnsi="Times New Roman" w:eastAsia="宋体" w:cs="仿宋"/>
          <w:color w:val="000000"/>
          <w:sz w:val="24"/>
        </w:rPr>
      </w:pPr>
      <w:r>
        <w:rPr>
          <w:rFonts w:hint="eastAsia" w:ascii="Times New Roman" w:hAnsi="Times New Roman" w:eastAsia="宋体" w:cs="仿宋"/>
          <w:sz w:val="24"/>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sz w:val="24"/>
          <w:lang w:val="en-US" w:eastAsia="zh-CN"/>
        </w:rPr>
        <w:t>不少于</w:t>
      </w:r>
      <w:r>
        <w:rPr>
          <w:rFonts w:hint="eastAsia" w:ascii="Times New Roman" w:hAnsi="Times New Roman" w:eastAsia="宋体" w:cs="仿宋"/>
          <w:sz w:val="24"/>
        </w:rPr>
        <w:t>2</w:t>
      </w:r>
      <w:r>
        <w:rPr>
          <w:rFonts w:hint="eastAsia" w:ascii="Times New Roman" w:hAnsi="Times New Roman" w:eastAsia="宋体" w:cs="仿宋"/>
          <w:color w:val="000000"/>
          <w:sz w:val="24"/>
        </w:rPr>
        <w:t>0天</w:t>
      </w:r>
      <w:r>
        <w:rPr>
          <w:rFonts w:hint="eastAsia" w:ascii="Times New Roman" w:hAnsi="Times New Roman" w:eastAsia="宋体" w:cs="仿宋"/>
          <w:color w:val="000000"/>
          <w:sz w:val="24"/>
          <w:lang w:val="en-US" w:eastAsia="zh-CN"/>
        </w:rPr>
        <w:t>，</w:t>
      </w:r>
      <w:r>
        <w:rPr>
          <w:rFonts w:hint="eastAsia" w:ascii="Times New Roman" w:hAnsi="Times New Roman" w:eastAsia="宋体" w:cs="仿宋"/>
          <w:color w:val="000000"/>
          <w:sz w:val="24"/>
        </w:rPr>
        <w:t>每天不少于1.5小时，其中个性化服务支持不少于1小时。</w:t>
      </w:r>
    </w:p>
    <w:p w14:paraId="6C6721A0">
      <w:pPr>
        <w:widowControl w:val="0"/>
        <w:spacing w:line="340" w:lineRule="exact"/>
        <w:ind w:firstLine="482"/>
        <w:rPr>
          <w:rFonts w:hint="eastAsia" w:ascii="Times New Roman" w:hAnsi="Times New Roman" w:eastAsia="宋体" w:cs="仿宋"/>
          <w:color w:val="000000"/>
          <w:sz w:val="24"/>
        </w:rPr>
      </w:pPr>
      <w:r>
        <w:rPr>
          <w:rFonts w:hint="eastAsia" w:ascii="Times New Roman" w:hAnsi="Times New Roman" w:eastAsia="宋体" w:cs="仿宋"/>
          <w:color w:val="000000"/>
          <w:sz w:val="24"/>
          <w:lang w:val="en-US" w:eastAsia="zh-CN"/>
        </w:rPr>
        <w:t>低视力儿童康复服务内容根据低视力儿童实际需求设定，每月不少于</w:t>
      </w:r>
      <w:r>
        <w:rPr>
          <w:rFonts w:ascii="Times New Roman" w:hAnsi="Times New Roman" w:eastAsia="宋体" w:cs="仿宋"/>
          <w:color w:val="000000"/>
          <w:sz w:val="24"/>
          <w:lang w:val="en-US" w:eastAsia="zh-CN"/>
        </w:rPr>
        <w:t>8</w:t>
      </w:r>
      <w:r>
        <w:rPr>
          <w:rFonts w:hint="eastAsia" w:ascii="Times New Roman" w:hAnsi="Times New Roman" w:eastAsia="宋体" w:cs="仿宋"/>
          <w:color w:val="000000"/>
          <w:sz w:val="24"/>
          <w:lang w:val="en-US" w:eastAsia="zh-CN"/>
        </w:rPr>
        <w:t>天（每周</w:t>
      </w:r>
      <w:r>
        <w:rPr>
          <w:rFonts w:ascii="Times New Roman" w:hAnsi="Times New Roman" w:eastAsia="宋体" w:cs="仿宋"/>
          <w:color w:val="000000"/>
          <w:sz w:val="24"/>
          <w:lang w:val="en-US" w:eastAsia="zh-CN"/>
        </w:rPr>
        <w:t>2</w:t>
      </w:r>
      <w:r>
        <w:rPr>
          <w:rFonts w:hint="eastAsia" w:ascii="Times New Roman" w:hAnsi="Times New Roman" w:eastAsia="宋体" w:cs="仿宋"/>
          <w:color w:val="000000"/>
          <w:sz w:val="24"/>
          <w:lang w:val="en-US" w:eastAsia="zh-CN"/>
        </w:rPr>
        <w:t>天），每天</w:t>
      </w:r>
      <w:r>
        <w:rPr>
          <w:rFonts w:ascii="Times New Roman" w:hAnsi="Times New Roman" w:eastAsia="宋体" w:cs="仿宋"/>
          <w:color w:val="000000"/>
          <w:sz w:val="24"/>
          <w:lang w:val="en-US" w:eastAsia="zh-CN"/>
        </w:rPr>
        <w:t>1</w:t>
      </w:r>
      <w:r>
        <w:rPr>
          <w:rFonts w:hint="eastAsia" w:ascii="Times New Roman" w:hAnsi="Times New Roman" w:eastAsia="宋体" w:cs="仿宋"/>
          <w:color w:val="000000"/>
          <w:sz w:val="24"/>
          <w:lang w:val="en-US" w:eastAsia="zh-CN"/>
        </w:rPr>
        <w:t>次不少于</w:t>
      </w:r>
      <w:r>
        <w:rPr>
          <w:rFonts w:ascii="Times New Roman" w:hAnsi="Times New Roman" w:eastAsia="宋体" w:cs="仿宋"/>
          <w:color w:val="000000"/>
          <w:sz w:val="24"/>
          <w:lang w:val="en-US" w:eastAsia="zh-CN"/>
        </w:rPr>
        <w:t>1</w:t>
      </w:r>
      <w:r>
        <w:rPr>
          <w:rFonts w:hint="eastAsia" w:ascii="Times New Roman" w:hAnsi="Times New Roman" w:eastAsia="宋体" w:cs="仿宋"/>
          <w:color w:val="000000"/>
          <w:sz w:val="24"/>
          <w:lang w:val="en-US" w:eastAsia="zh-CN"/>
        </w:rPr>
        <w:t>小时。</w:t>
      </w:r>
    </w:p>
    <w:p w14:paraId="58ACE750">
      <w:pPr>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视力残疾儿童辅助器具适配服务按照相关规定执行。</w:t>
      </w:r>
    </w:p>
    <w:p w14:paraId="716465FB">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color w:val="000000"/>
          <w:sz w:val="24"/>
        </w:rPr>
        <w:t>（3）残疾儿童自申请之日起一个年度康复服务周期内，只</w:t>
      </w:r>
      <w:r>
        <w:rPr>
          <w:rFonts w:hint="eastAsia" w:ascii="Times New Roman" w:hAnsi="Times New Roman" w:eastAsia="宋体" w:cs="仿宋"/>
          <w:sz w:val="24"/>
        </w:rPr>
        <w:t>享受一种残疾类别的康复救助，多类别康复救助经费不叠加计算。</w:t>
      </w:r>
    </w:p>
    <w:p w14:paraId="734FEE85">
      <w:pPr>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br w:type="textWrapping" w:clear="all"/>
      </w:r>
      <w:r>
        <w:rPr>
          <w:rFonts w:hint="eastAsia" w:ascii="宋体" w:hAnsi="宋体" w:eastAsia="宋体" w:cs="Times New Roman"/>
          <w:b/>
          <w:color w:val="000000"/>
          <w:sz w:val="24"/>
          <w:szCs w:val="24"/>
          <w:highlight w:val="none"/>
          <w:lang w:val="en-US" w:eastAsia="zh-CN"/>
        </w:rPr>
        <w:t xml:space="preserve">    四、服务管理与考核</w:t>
      </w:r>
    </w:p>
    <w:p w14:paraId="770E6A44">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本项目经招标确定的定点康复服务机构，须全面服从采购人（即合同签订甲方）的康复服务机构各项管理与考核安排及要求，包含但不限于如下具体内容。</w:t>
      </w:r>
    </w:p>
    <w:p w14:paraId="255C95A8">
      <w:pPr>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rPr>
        <w:t>（一）基本硬件建设：</w:t>
      </w:r>
    </w:p>
    <w:p w14:paraId="5CAFC253">
      <w:pPr>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rPr>
        <w:t>1、建设标准</w:t>
      </w:r>
    </w:p>
    <w:p w14:paraId="0870A603">
      <w:pPr>
        <w:widowControl w:val="0"/>
        <w:spacing w:line="340" w:lineRule="exact"/>
        <w:ind w:firstLine="482"/>
        <w:rPr>
          <w:rFonts w:hint="eastAsia" w:ascii="Times New Roman" w:hAnsi="Times New Roman" w:eastAsia="宋体" w:cs="仿宋"/>
          <w:color w:val="auto"/>
          <w:sz w:val="24"/>
          <w:u w:val="none"/>
          <w:lang w:val="en-US" w:eastAsia="zh-CN"/>
        </w:rPr>
      </w:pPr>
      <w:r>
        <w:rPr>
          <w:rFonts w:hint="eastAsia" w:ascii="Times New Roman" w:hAnsi="Times New Roman" w:eastAsia="宋体" w:cs="仿宋"/>
          <w:b w:val="0"/>
          <w:bCs w:val="0"/>
          <w:color w:val="auto"/>
          <w:sz w:val="24"/>
          <w:u w:val="none"/>
        </w:rPr>
        <w:t>★</w:t>
      </w:r>
      <w:r>
        <w:rPr>
          <w:rFonts w:hint="eastAsia" w:ascii="Times New Roman" w:hAnsi="Times New Roman" w:eastAsia="宋体" w:cs="仿宋"/>
          <w:b w:val="0"/>
          <w:bCs w:val="0"/>
          <w:color w:val="auto"/>
          <w:sz w:val="24"/>
          <w:u w:val="none"/>
          <w:lang w:val="en-US" w:eastAsia="zh-CN"/>
        </w:rPr>
        <w:t>1.1</w:t>
      </w:r>
      <w:r>
        <w:rPr>
          <w:rFonts w:hint="eastAsia" w:ascii="Times New Roman" w:hAnsi="Times New Roman" w:eastAsia="宋体" w:cs="仿宋"/>
          <w:b w:val="0"/>
          <w:bCs w:val="0"/>
          <w:color w:val="auto"/>
          <w:sz w:val="24"/>
          <w:u w:val="none"/>
        </w:rPr>
        <w:t>消防达标要求：</w:t>
      </w:r>
      <w:r>
        <w:rPr>
          <w:rFonts w:hint="eastAsia" w:ascii="Times New Roman" w:hAnsi="Times New Roman" w:eastAsia="宋体" w:cs="仿宋"/>
          <w:color w:val="auto"/>
          <w:sz w:val="24"/>
          <w:u w:val="none"/>
        </w:rPr>
        <w:t>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u w:val="none"/>
          <w:lang w:val="en-US" w:eastAsia="zh-CN"/>
        </w:rPr>
        <w:t>须提供前述相关证明资料，否则不予认可。</w:t>
      </w:r>
    </w:p>
    <w:p w14:paraId="6502C77A">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b w:val="0"/>
          <w:bCs/>
          <w:sz w:val="24"/>
          <w:lang w:val="en-US" w:eastAsia="zh-CN"/>
        </w:rPr>
        <w:t>1.2</w:t>
      </w:r>
      <w:r>
        <w:rPr>
          <w:rFonts w:hint="eastAsia" w:ascii="Times New Roman" w:hAnsi="Times New Roman" w:eastAsia="宋体" w:cs="仿宋"/>
          <w:b w:val="0"/>
          <w:bCs/>
          <w:sz w:val="24"/>
        </w:rPr>
        <w:t>建设要求：</w:t>
      </w:r>
      <w:r>
        <w:rPr>
          <w:rFonts w:hint="eastAsia" w:ascii="Times New Roman" w:hAnsi="Times New Roman" w:eastAsia="宋体" w:cs="仿宋"/>
          <w:sz w:val="24"/>
        </w:rPr>
        <w:t>机构规划布局、建设规模和建设面积执行《残疾人康复机构建设标准》（建标165－2013）中关于“选址与规划布局”和“建设规模与建筑面积指标”的相关规定。</w:t>
      </w:r>
    </w:p>
    <w:p w14:paraId="46D0ACCE">
      <w:pPr>
        <w:widowControl w:val="0"/>
        <w:spacing w:line="340" w:lineRule="exact"/>
        <w:ind w:firstLine="482"/>
        <w:rPr>
          <w:rFonts w:ascii="Times New Roman" w:hAnsi="Times New Roman" w:eastAsia="宋体" w:cs="仿宋"/>
          <w:b w:val="0"/>
          <w:bCs/>
          <w:sz w:val="24"/>
        </w:rPr>
      </w:pPr>
      <w:r>
        <w:rPr>
          <w:rFonts w:hint="eastAsia" w:ascii="Times New Roman" w:hAnsi="Times New Roman" w:eastAsia="宋体" w:cs="仿宋"/>
          <w:b w:val="0"/>
          <w:bCs/>
          <w:sz w:val="24"/>
        </w:rPr>
        <w:t>★</w:t>
      </w:r>
      <w:r>
        <w:rPr>
          <w:rFonts w:hint="eastAsia" w:ascii="Times New Roman" w:hAnsi="Times New Roman" w:eastAsia="宋体" w:cs="仿宋"/>
          <w:b w:val="0"/>
          <w:bCs/>
          <w:sz w:val="24"/>
          <w:lang w:val="en-US" w:eastAsia="zh-CN"/>
        </w:rPr>
        <w:t>1.3</w:t>
      </w:r>
      <w:r>
        <w:rPr>
          <w:rFonts w:hint="eastAsia" w:ascii="Times New Roman" w:hAnsi="Times New Roman" w:eastAsia="宋体" w:cs="仿宋"/>
          <w:b w:val="0"/>
          <w:bCs/>
          <w:sz w:val="24"/>
        </w:rPr>
        <w:t>环境要求：</w:t>
      </w:r>
    </w:p>
    <w:p w14:paraId="7A3FA877">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应有与收训规模相适应的独立、安全、相对稳定的房屋，并设置在安全区域内，周围50米以内无污染、噪音影响。不应与易爆、易燃等危化品生产、储存、装卸场所相邻，应远离高压线、垃圾站及大型机动车停车场。</w:t>
      </w:r>
    </w:p>
    <w:p w14:paraId="28552810">
      <w:pPr>
        <w:widowControl w:val="0"/>
        <w:spacing w:line="340" w:lineRule="exact"/>
        <w:ind w:firstLine="482"/>
        <w:rPr>
          <w:rFonts w:ascii="Times New Roman" w:hAnsi="Times New Roman" w:eastAsia="宋体" w:cs="仿宋"/>
          <w:b/>
          <w:color w:val="auto"/>
          <w:sz w:val="24"/>
        </w:rPr>
      </w:pPr>
      <w:r>
        <w:rPr>
          <w:rFonts w:hint="eastAsia" w:ascii="Times New Roman" w:hAnsi="Times New Roman" w:eastAsia="宋体" w:cs="仿宋"/>
          <w:b/>
          <w:color w:val="auto"/>
          <w:sz w:val="24"/>
        </w:rPr>
        <w:t>注：提供满足上述环境要求的承诺书加盖公章，格式自拟，如中标后，环境与上述要求不符视为虚假承诺，采购人将取消其中标资格并报送相关监管部门予以处罚。</w:t>
      </w:r>
    </w:p>
    <w:p w14:paraId="6387C77A">
      <w:pPr>
        <w:widowControl w:val="0"/>
        <w:spacing w:line="340" w:lineRule="exact"/>
        <w:ind w:firstLine="482"/>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2、</w:t>
      </w:r>
      <w:r>
        <w:rPr>
          <w:rFonts w:hint="eastAsia" w:ascii="Times New Roman" w:hAnsi="Times New Roman" w:eastAsia="宋体" w:cs="仿宋"/>
          <w:b/>
          <w:sz w:val="24"/>
        </w:rPr>
        <w:t>定点机构</w:t>
      </w:r>
      <w:r>
        <w:rPr>
          <w:rFonts w:hint="eastAsia" w:ascii="Times New Roman" w:hAnsi="Times New Roman" w:eastAsia="宋体" w:cs="仿宋"/>
          <w:b/>
          <w:sz w:val="24"/>
          <w:lang w:val="en-US" w:eastAsia="zh-CN"/>
        </w:rPr>
        <w:t>内部管理</w:t>
      </w:r>
    </w:p>
    <w:p w14:paraId="44CA2286">
      <w:pPr>
        <w:widowControl w:val="0"/>
        <w:spacing w:line="34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2.2制度管理</w:t>
      </w:r>
    </w:p>
    <w:p w14:paraId="17749302">
      <w:pPr>
        <w:widowControl w:val="0"/>
        <w:spacing w:line="34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具备岗位职责、业务管理、人力资源管理、财务管理、突发事件应急预案、信息管理、服务项目及收费标准等信息公示，有年度自查的总结报告。</w:t>
      </w:r>
    </w:p>
    <w:p w14:paraId="14C08561">
      <w:pPr>
        <w:widowControl w:val="0"/>
        <w:spacing w:line="34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2.3绩效审计</w:t>
      </w:r>
    </w:p>
    <w:p w14:paraId="082C7F96">
      <w:pPr>
        <w:widowControl w:val="0"/>
        <w:spacing w:line="340" w:lineRule="exact"/>
        <w:ind w:firstLine="482"/>
        <w:rPr>
          <w:rFonts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接受业务主管部门财务检查和年度审计，经县级以上残联会同财政部门年度康复服务项目绩效考核合格以上。</w:t>
      </w:r>
    </w:p>
    <w:p w14:paraId="3A01C95C">
      <w:pPr>
        <w:widowControl w:val="0"/>
        <w:spacing w:line="340" w:lineRule="exact"/>
        <w:ind w:firstLine="482"/>
        <w:rPr>
          <w:rFonts w:hint="eastAsia" w:ascii="Times New Roman" w:hAnsi="Times New Roman" w:eastAsia="宋体" w:cs="仿宋"/>
          <w:b/>
          <w:sz w:val="24"/>
          <w:lang w:val="en-US" w:eastAsia="zh-CN"/>
        </w:rPr>
      </w:pPr>
    </w:p>
    <w:p w14:paraId="7249FCB6">
      <w:pPr>
        <w:widowControl w:val="0"/>
        <w:spacing w:line="340" w:lineRule="exact"/>
        <w:ind w:firstLine="482"/>
        <w:rPr>
          <w:rFonts w:ascii="Times New Roman" w:hAnsi="Times New Roman" w:eastAsia="宋体" w:cs="仿宋"/>
          <w:b/>
          <w:color w:val="auto"/>
          <w:sz w:val="24"/>
          <w:u w:val="none"/>
        </w:rPr>
      </w:pPr>
      <w:r>
        <w:rPr>
          <w:rFonts w:hint="eastAsia" w:ascii="Times New Roman" w:hAnsi="Times New Roman" w:eastAsia="宋体" w:cs="仿宋"/>
          <w:b/>
          <w:color w:val="auto"/>
          <w:sz w:val="24"/>
          <w:u w:val="none"/>
          <w:lang w:val="en-US" w:eastAsia="zh-CN"/>
        </w:rPr>
        <w:t>3、</w:t>
      </w:r>
      <w:r>
        <w:rPr>
          <w:rFonts w:hint="eastAsia" w:ascii="Times New Roman" w:hAnsi="Times New Roman" w:eastAsia="宋体" w:cs="仿宋"/>
          <w:b/>
          <w:color w:val="auto"/>
          <w:sz w:val="24"/>
          <w:u w:val="none"/>
        </w:rPr>
        <w:t>定点机构</w:t>
      </w:r>
      <w:r>
        <w:rPr>
          <w:rFonts w:hint="eastAsia" w:ascii="Times New Roman" w:hAnsi="Times New Roman" w:eastAsia="宋体" w:cs="仿宋"/>
          <w:b/>
          <w:color w:val="auto"/>
          <w:sz w:val="24"/>
          <w:u w:val="none"/>
          <w:lang w:val="en-US" w:eastAsia="zh-CN"/>
        </w:rPr>
        <w:t>设施设备</w:t>
      </w:r>
    </w:p>
    <w:p w14:paraId="374DB28C">
      <w:pPr>
        <w:widowControl w:val="0"/>
        <w:spacing w:line="340" w:lineRule="exact"/>
        <w:ind w:firstLine="482"/>
        <w:rPr>
          <w:rFonts w:hint="eastAsia" w:ascii="Times New Roman" w:hAnsi="Times New Roman" w:eastAsia="宋体" w:cs="仿宋"/>
          <w:color w:val="auto"/>
          <w:sz w:val="24"/>
          <w:u w:val="none"/>
          <w:lang w:val="en-US" w:eastAsia="zh-CN"/>
        </w:rPr>
      </w:pPr>
      <w:r>
        <w:rPr>
          <w:rFonts w:hint="eastAsia" w:ascii="Times New Roman" w:hAnsi="Times New Roman" w:eastAsia="宋体" w:cs="仿宋"/>
          <w:b/>
          <w:bCs/>
          <w:color w:val="auto"/>
          <w:sz w:val="24"/>
          <w:u w:val="none"/>
          <w:lang w:val="en-US" w:eastAsia="zh-CN"/>
        </w:rPr>
        <w:t>3.1训练场地</w:t>
      </w:r>
      <w:r>
        <w:rPr>
          <w:rFonts w:hint="eastAsia" w:ascii="Times New Roman" w:hAnsi="Times New Roman" w:eastAsia="宋体" w:cs="仿宋"/>
          <w:b/>
          <w:color w:val="auto"/>
          <w:sz w:val="24"/>
          <w:u w:val="none"/>
        </w:rPr>
        <w:t>：</w:t>
      </w:r>
      <w:r>
        <w:rPr>
          <w:rFonts w:hint="eastAsia" w:ascii="Times New Roman" w:hAnsi="Times New Roman" w:eastAsia="宋体" w:cs="仿宋"/>
          <w:b w:val="0"/>
          <w:bCs/>
          <w:color w:val="auto"/>
          <w:sz w:val="24"/>
          <w:u w:val="none"/>
        </w:rPr>
        <w:t>应设立低视力诊室、助视器适配区、视功能训练室、日常生活适应能力训练室、定向行走训练室、集体教室等业务用房。业务用房面</w:t>
      </w:r>
      <w:r>
        <w:rPr>
          <w:rFonts w:hint="eastAsia" w:ascii="Times New Roman" w:hAnsi="Times New Roman" w:eastAsia="宋体" w:cs="仿宋"/>
          <w:color w:val="auto"/>
          <w:sz w:val="24"/>
          <w:u w:val="none"/>
          <w:lang w:val="en-US" w:eastAsia="zh-CN"/>
        </w:rPr>
        <w:t>积不少于建筑总面积的60%。</w:t>
      </w:r>
    </w:p>
    <w:p w14:paraId="4DD75B30">
      <w:pPr>
        <w:widowControl w:val="0"/>
        <w:spacing w:line="340" w:lineRule="exact"/>
        <w:ind w:firstLine="482"/>
        <w:rPr>
          <w:rFonts w:hint="eastAsia" w:ascii="Times New Roman" w:hAnsi="Times New Roman" w:eastAsia="宋体" w:cs="仿宋"/>
          <w:color w:val="auto"/>
          <w:sz w:val="24"/>
          <w:u w:val="none"/>
          <w:lang w:val="en-US" w:eastAsia="zh-CN"/>
        </w:rPr>
      </w:pPr>
      <w:r>
        <w:rPr>
          <w:rFonts w:hint="eastAsia" w:ascii="Times New Roman" w:hAnsi="Times New Roman" w:eastAsia="宋体" w:cs="仿宋"/>
          <w:color w:val="auto"/>
          <w:sz w:val="24"/>
          <w:u w:val="none"/>
          <w:lang w:val="en-US" w:eastAsia="zh-CN"/>
        </w:rPr>
        <w:t>具有诊断评估功能的视力康复机构应设置独立的低视力诊室，不少于15平方米。</w:t>
      </w:r>
    </w:p>
    <w:p w14:paraId="74F2A45B">
      <w:pPr>
        <w:widowControl w:val="0"/>
        <w:spacing w:line="340" w:lineRule="exact"/>
        <w:ind w:firstLine="482"/>
        <w:rPr>
          <w:rFonts w:hint="eastAsia" w:ascii="Times New Roman" w:hAnsi="Times New Roman" w:eastAsia="宋体" w:cs="仿宋"/>
          <w:color w:val="auto"/>
          <w:sz w:val="24"/>
          <w:u w:val="none"/>
          <w:lang w:val="en-US" w:eastAsia="zh-CN"/>
        </w:rPr>
      </w:pPr>
      <w:r>
        <w:rPr>
          <w:rFonts w:hint="eastAsia" w:ascii="Times New Roman" w:hAnsi="Times New Roman" w:eastAsia="宋体" w:cs="仿宋"/>
          <w:color w:val="auto"/>
          <w:sz w:val="24"/>
          <w:u w:val="none"/>
          <w:lang w:val="en-US" w:eastAsia="zh-CN"/>
        </w:rPr>
        <w:t>设置独立的助视器适配区，不少于15平方米。</w:t>
      </w:r>
    </w:p>
    <w:p w14:paraId="44DE238C">
      <w:pPr>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视功能训练室、社会适应能力训练室、定向行走训练室可以综合设置，有条件的机构可以分开设置。</w:t>
      </w:r>
    </w:p>
    <w:p w14:paraId="5831DF2E">
      <w:pPr>
        <w:widowControl w:val="0"/>
        <w:spacing w:line="340" w:lineRule="exact"/>
        <w:ind w:firstLine="482"/>
        <w:rPr>
          <w:rFonts w:ascii="Times New Roman" w:hAnsi="Times New Roman" w:eastAsia="宋体" w:cs="仿宋"/>
          <w:sz w:val="24"/>
          <w:lang w:val="en-US" w:eastAsia="zh-CN"/>
        </w:rPr>
      </w:pPr>
      <w:r>
        <w:rPr>
          <w:rFonts w:hint="eastAsia" w:ascii="Times New Roman" w:hAnsi="Times New Roman" w:eastAsia="宋体" w:cs="仿宋"/>
          <w:b/>
          <w:sz w:val="24"/>
          <w:lang w:val="en-US" w:eastAsia="zh-CN"/>
        </w:rPr>
        <w:t>3.2训练设备</w:t>
      </w:r>
    </w:p>
    <w:p w14:paraId="626C1B4E">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配备视力检查设备与器材，包括视力表、眼科诊疗常用设备、助视器配镜、普通验光设备等。</w:t>
      </w:r>
    </w:p>
    <w:p w14:paraId="6C074C6B">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配备视力康复训练设备与器材，包括光学、电子类助视器、其它训练器械和辅助设备等。</w:t>
      </w:r>
    </w:p>
    <w:p w14:paraId="69CD2662">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配备定向行走辅助器材，包括感统训练器具、定向辅具、移动辅具等。</w:t>
      </w:r>
    </w:p>
    <w:p w14:paraId="73335DD0">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配备弱视训练设备与器材，包括各类弱视训练仪器、后像光刷仪等。</w:t>
      </w:r>
    </w:p>
    <w:p w14:paraId="7F7AF758">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配备双眼视力功能训练设备与器材，包括同视机等训练器材。</w:t>
      </w:r>
    </w:p>
    <w:p w14:paraId="698A50FB">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配备家长培训所需的教学设备。</w:t>
      </w:r>
    </w:p>
    <w:p w14:paraId="5ECD3640">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按人均4件的标准配备符合儿童训练特点的各类玩具和图书。</w:t>
      </w:r>
    </w:p>
    <w:p w14:paraId="1A91B168">
      <w:pPr>
        <w:keepNext w:val="0"/>
        <w:keepLines w:val="0"/>
        <w:pageBreakBefore w:val="0"/>
        <w:widowControl w:val="0"/>
        <w:spacing w:line="340" w:lineRule="exact"/>
        <w:ind w:firstLine="482"/>
        <w:rPr>
          <w:rFonts w:hint="default" w:ascii="Times New Roman" w:hAnsi="Times New Roman" w:eastAsia="宋体" w:cs="仿宋"/>
          <w:b w:val="0"/>
          <w:bCs/>
          <w:color w:val="FF0000"/>
          <w:sz w:val="24"/>
          <w:lang w:val="en-US" w:eastAsia="zh-CN"/>
        </w:rPr>
      </w:pPr>
      <w:r>
        <w:rPr>
          <w:rFonts w:hint="eastAsia" w:ascii="Times New Roman" w:hAnsi="Times New Roman" w:eastAsia="宋体" w:cs="仿宋"/>
          <w:b w:val="0"/>
          <w:bCs/>
          <w:color w:val="FF0000"/>
          <w:sz w:val="24"/>
          <w:lang w:val="en-US" w:eastAsia="zh-CN"/>
        </w:rPr>
        <w:t>配备监控设施</w:t>
      </w:r>
      <w:r>
        <w:rPr>
          <w:rFonts w:hint="eastAsia" w:ascii="Times New Roman" w:hAnsi="Times New Roman" w:cs="仿宋"/>
          <w:b w:val="0"/>
          <w:bCs/>
          <w:color w:val="FF0000"/>
          <w:sz w:val="24"/>
          <w:lang w:val="en-US" w:eastAsia="zh-CN"/>
        </w:rPr>
        <w:t>：</w:t>
      </w:r>
      <w:r>
        <w:rPr>
          <w:rFonts w:hint="eastAsia" w:ascii="Times New Roman" w:hAnsi="Times New Roman" w:eastAsia="宋体" w:cs="仿宋"/>
          <w:b w:val="0"/>
          <w:bCs/>
          <w:color w:val="FF0000"/>
          <w:sz w:val="24"/>
          <w:lang w:val="en-US" w:eastAsia="zh-CN"/>
        </w:rPr>
        <w:t>康复训练全程监控，监控录像资料应保留2个月以上</w:t>
      </w:r>
      <w:r>
        <w:rPr>
          <w:rFonts w:hint="eastAsia" w:ascii="Times New Roman" w:hAnsi="Times New Roman" w:cs="仿宋"/>
          <w:b w:val="0"/>
          <w:bCs/>
          <w:color w:val="FF0000"/>
          <w:sz w:val="24"/>
          <w:lang w:val="en-US" w:eastAsia="zh-CN"/>
        </w:rPr>
        <w:t>，所产生的一切费用由乙方自行承担</w:t>
      </w:r>
      <w:r>
        <w:rPr>
          <w:rFonts w:hint="eastAsia" w:ascii="Times New Roman" w:hAnsi="Times New Roman" w:eastAsia="宋体" w:cs="仿宋"/>
          <w:b w:val="0"/>
          <w:bCs/>
          <w:color w:val="FF0000"/>
          <w:sz w:val="24"/>
          <w:lang w:val="en-US" w:eastAsia="zh-CN"/>
        </w:rPr>
        <w:t>。</w:t>
      </w:r>
    </w:p>
    <w:p w14:paraId="36B63DA7">
      <w:pPr>
        <w:widowControl w:val="0"/>
        <w:spacing w:line="34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4、机构管理</w:t>
      </w:r>
    </w:p>
    <w:p w14:paraId="65A23DE9">
      <w:pPr>
        <w:widowControl w:val="0"/>
        <w:spacing w:line="340" w:lineRule="exact"/>
        <w:ind w:firstLine="482"/>
        <w:rPr>
          <w:rFonts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4.1人员配备</w:t>
      </w:r>
    </w:p>
    <w:p w14:paraId="56AA8C5A">
      <w:pPr>
        <w:widowControl w:val="0"/>
        <w:spacing w:line="340" w:lineRule="exact"/>
        <w:ind w:firstLine="482"/>
        <w:rPr>
          <w:rFonts w:hint="eastAsia" w:ascii="Times New Roman" w:hAnsi="Times New Roman" w:eastAsia="宋体" w:cs="仿宋"/>
          <w:sz w:val="24"/>
          <w:lang w:eastAsia="zh-CN"/>
        </w:rPr>
      </w:pPr>
      <w:r>
        <w:rPr>
          <w:rFonts w:hint="eastAsia" w:ascii="Times New Roman" w:hAnsi="Times New Roman" w:eastAsia="宋体" w:cs="仿宋"/>
          <w:b w:val="0"/>
          <w:bCs/>
          <w:sz w:val="24"/>
        </w:rPr>
        <w:t>至少配备1名取得国家执</w:t>
      </w:r>
      <w:r>
        <w:rPr>
          <w:rFonts w:hint="eastAsia" w:ascii="Times New Roman" w:hAnsi="Times New Roman" w:eastAsia="宋体" w:cs="仿宋"/>
          <w:sz w:val="24"/>
        </w:rPr>
        <w:t>业医师资格的眼科临床医生(医疗康复机构)</w:t>
      </w:r>
      <w:r>
        <w:rPr>
          <w:rFonts w:hint="eastAsia" w:ascii="Times New Roman" w:hAnsi="Times New Roman" w:eastAsia="宋体" w:cs="仿宋"/>
          <w:sz w:val="24"/>
          <w:lang w:eastAsia="zh-CN"/>
        </w:rPr>
        <w:t>；</w:t>
      </w:r>
    </w:p>
    <w:p w14:paraId="760C97E7">
      <w:pPr>
        <w:widowControl w:val="0"/>
        <w:spacing w:line="34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rPr>
        <w:t>至少配备1名视力康复专业技术人员，每两年参加1次符合相关专业规范要求的业务学习培训</w:t>
      </w:r>
      <w:r>
        <w:rPr>
          <w:rFonts w:hint="eastAsia" w:ascii="Times New Roman" w:hAnsi="Times New Roman" w:eastAsia="宋体" w:cs="仿宋"/>
          <w:sz w:val="24"/>
          <w:lang w:eastAsia="zh-CN"/>
        </w:rPr>
        <w:t>；</w:t>
      </w:r>
    </w:p>
    <w:p w14:paraId="63BA48D1">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至少配备1名光学验配专业技术人员，每两年参加1次符合相关专业规范要求的业务学习培训。</w:t>
      </w:r>
    </w:p>
    <w:p w14:paraId="1E0A60A3">
      <w:pPr>
        <w:widowControl w:val="0"/>
        <w:spacing w:line="34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4.2人员组成：</w:t>
      </w:r>
    </w:p>
    <w:p w14:paraId="110AA308">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lang w:val="en-US" w:eastAsia="zh-CN"/>
        </w:rPr>
        <w:t>眼科医生（医疗康复机构）、康复技术人员、光学验配技术人员不低于机构职工</w:t>
      </w:r>
      <w:r>
        <w:rPr>
          <w:rFonts w:ascii="Times New Roman" w:hAnsi="Times New Roman" w:eastAsia="宋体" w:cs="仿宋"/>
          <w:sz w:val="24"/>
          <w:lang w:val="en-US" w:eastAsia="zh-CN"/>
        </w:rPr>
        <w:t xml:space="preserve">总数的70%。 </w:t>
      </w:r>
    </w:p>
    <w:p w14:paraId="7B891D24">
      <w:pPr>
        <w:widowControl w:val="0"/>
        <w:spacing w:line="340" w:lineRule="exact"/>
        <w:ind w:firstLine="482"/>
        <w:rPr>
          <w:rFonts w:hint="eastAsia" w:ascii="Times New Roman" w:hAnsi="Times New Roman" w:eastAsia="宋体" w:cs="仿宋"/>
          <w:sz w:val="24"/>
        </w:rPr>
      </w:pPr>
      <w:r>
        <w:rPr>
          <w:rFonts w:ascii="Times New Roman" w:hAnsi="Times New Roman" w:eastAsia="宋体" w:cs="仿宋"/>
          <w:sz w:val="24"/>
          <w:lang w:val="en-US" w:eastAsia="zh-CN"/>
        </w:rPr>
        <w:t xml:space="preserve">专业技术人员与残疾儿童比例不低于1:10。 </w:t>
      </w:r>
    </w:p>
    <w:p w14:paraId="1E2B8AA5">
      <w:pPr>
        <w:widowControl w:val="0"/>
        <w:spacing w:line="340" w:lineRule="exact"/>
        <w:ind w:firstLine="482"/>
        <w:rPr>
          <w:rFonts w:hint="eastAsia" w:ascii="Times New Roman" w:hAnsi="Times New Roman" w:eastAsia="宋体" w:cs="仿宋"/>
          <w:sz w:val="24"/>
        </w:rPr>
      </w:pPr>
      <w:r>
        <w:rPr>
          <w:rFonts w:ascii="Times New Roman" w:hAnsi="Times New Roman" w:eastAsia="宋体" w:cs="仿宋"/>
          <w:sz w:val="24"/>
          <w:lang w:val="en-US" w:eastAsia="zh-CN"/>
        </w:rPr>
        <w:t xml:space="preserve">中级以上专业技术职称人数占专业技术人员总数 20%以上。 </w:t>
      </w:r>
    </w:p>
    <w:p w14:paraId="7A6935CC">
      <w:pPr>
        <w:widowControl w:val="0"/>
        <w:spacing w:line="340" w:lineRule="exact"/>
        <w:ind w:firstLine="482"/>
        <w:rPr>
          <w:rFonts w:hint="eastAsia" w:ascii="Times New Roman" w:hAnsi="Times New Roman" w:eastAsia="宋体" w:cs="仿宋"/>
          <w:sz w:val="24"/>
          <w:lang w:val="en-US" w:eastAsia="zh-CN"/>
        </w:rPr>
      </w:pPr>
      <w:r>
        <w:rPr>
          <w:rFonts w:ascii="Times New Roman" w:hAnsi="Times New Roman" w:eastAsia="宋体" w:cs="仿宋"/>
          <w:sz w:val="24"/>
          <w:lang w:val="en-US" w:eastAsia="zh-CN"/>
        </w:rPr>
        <w:t>从事康复工作 3 年以上的专业技术人员占专业技术人员总数的40%以上。</w:t>
      </w:r>
    </w:p>
    <w:p w14:paraId="1770A28E">
      <w:pPr>
        <w:widowControl w:val="0"/>
        <w:spacing w:line="340" w:lineRule="exact"/>
        <w:ind w:firstLine="482"/>
        <w:rPr>
          <w:rFonts w:ascii="Times New Roman" w:hAnsi="Times New Roman" w:eastAsia="宋体" w:cs="仿宋"/>
          <w:b w:val="0"/>
          <w:bCs/>
          <w:sz w:val="24"/>
        </w:rPr>
      </w:pPr>
      <w:r>
        <w:rPr>
          <w:rFonts w:hint="eastAsia" w:ascii="Times New Roman" w:hAnsi="Times New Roman" w:eastAsia="宋体" w:cs="仿宋"/>
          <w:b w:val="0"/>
          <w:bCs/>
          <w:sz w:val="24"/>
          <w:lang w:val="en-US" w:eastAsia="zh-CN"/>
        </w:rPr>
        <w:t>4.3</w:t>
      </w:r>
      <w:r>
        <w:rPr>
          <w:rFonts w:hint="eastAsia" w:ascii="Times New Roman" w:hAnsi="Times New Roman" w:eastAsia="宋体" w:cs="仿宋"/>
          <w:b w:val="0"/>
          <w:bCs/>
          <w:sz w:val="24"/>
        </w:rPr>
        <w:t>资历要求：</w:t>
      </w:r>
    </w:p>
    <w:p w14:paraId="0B8FF0F3">
      <w:pPr>
        <w:widowControl w:val="0"/>
        <w:spacing w:line="340" w:lineRule="exact"/>
        <w:ind w:firstLine="482"/>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从事医疗康复的机构业务主管应具有眼科专业大专以上学历，两年以上视力康复工作经验。 </w:t>
      </w:r>
    </w:p>
    <w:p w14:paraId="697D544F">
      <w:pPr>
        <w:widowControl w:val="0"/>
        <w:spacing w:line="340" w:lineRule="exact"/>
        <w:ind w:firstLine="482"/>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每年不少于30%康复专业技术人员参加市级以上组织的规范化培训不少于21个学时。 </w:t>
      </w:r>
    </w:p>
    <w:p w14:paraId="22921301">
      <w:pPr>
        <w:widowControl w:val="0"/>
        <w:spacing w:line="340" w:lineRule="exact"/>
        <w:ind w:firstLine="482"/>
        <w:rPr>
          <w:rFonts w:ascii="Times New Roman" w:hAnsi="Times New Roman" w:eastAsia="宋体" w:cs="仿宋"/>
          <w:sz w:val="24"/>
          <w:lang w:val="en-US" w:eastAsia="zh-CN"/>
        </w:rPr>
      </w:pPr>
      <w:r>
        <w:rPr>
          <w:rFonts w:ascii="Times New Roman" w:hAnsi="Times New Roman" w:eastAsia="宋体" w:cs="仿宋"/>
          <w:sz w:val="24"/>
          <w:lang w:val="en-US" w:eastAsia="zh-CN"/>
        </w:rPr>
        <w:t>机构所有工作人员根据岗位要求取得健康证明。</w:t>
      </w:r>
    </w:p>
    <w:p w14:paraId="2E625DD5">
      <w:pPr>
        <w:widowControl w:val="0"/>
        <w:spacing w:line="340" w:lineRule="exact"/>
        <w:ind w:firstLine="482"/>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5、业务功能</w:t>
      </w:r>
    </w:p>
    <w:p w14:paraId="673377A9">
      <w:pPr>
        <w:widowControl w:val="0"/>
        <w:spacing w:line="340" w:lineRule="exact"/>
        <w:ind w:firstLine="482"/>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5.1部门设置</w:t>
      </w:r>
    </w:p>
    <w:p w14:paraId="79F98B52">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应设置眼科临床（医疗康复机构）、康复训练、教育培训、后勤保障、行政管理等部门。</w:t>
      </w:r>
    </w:p>
    <w:p w14:paraId="515B8D48">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b/>
          <w:sz w:val="24"/>
          <w:lang w:val="en-US" w:eastAsia="zh-CN"/>
        </w:rPr>
        <w:t>5.2</w:t>
      </w:r>
      <w:r>
        <w:rPr>
          <w:rFonts w:hint="eastAsia" w:ascii="Times New Roman" w:hAnsi="Times New Roman" w:eastAsia="宋体" w:cs="仿宋"/>
          <w:b/>
          <w:sz w:val="24"/>
        </w:rPr>
        <w:t>服务能力</w:t>
      </w:r>
    </w:p>
    <w:p w14:paraId="25BF5247">
      <w:pPr>
        <w:widowControl w:val="0"/>
        <w:spacing w:line="340" w:lineRule="exact"/>
        <w:ind w:firstLine="482"/>
        <w:rPr>
          <w:rFonts w:hint="eastAsia" w:ascii="Times New Roman" w:hAnsi="Times New Roman" w:eastAsia="宋体" w:cs="仿宋"/>
          <w:b/>
          <w:bCs/>
          <w:color w:val="0000FF"/>
          <w:sz w:val="24"/>
        </w:rPr>
      </w:pPr>
      <w:r>
        <w:rPr>
          <w:rFonts w:hint="eastAsia" w:ascii="Times New Roman" w:hAnsi="Times New Roman" w:eastAsia="宋体" w:cs="仿宋"/>
          <w:b/>
          <w:bCs/>
          <w:color w:val="0000FF"/>
          <w:sz w:val="24"/>
        </w:rPr>
        <w:t>具有同时收训20</w:t>
      </w:r>
      <w:r>
        <w:rPr>
          <w:rFonts w:hint="eastAsia" w:ascii="Times New Roman" w:hAnsi="Times New Roman" w:cs="仿宋"/>
          <w:b/>
          <w:bCs/>
          <w:color w:val="0000FF"/>
          <w:sz w:val="24"/>
          <w:lang w:val="en-US" w:eastAsia="zh-CN"/>
        </w:rPr>
        <w:t>0</w:t>
      </w:r>
      <w:r>
        <w:rPr>
          <w:rFonts w:hint="eastAsia" w:ascii="Times New Roman" w:hAnsi="Times New Roman" w:eastAsia="宋体" w:cs="仿宋"/>
          <w:b/>
          <w:bCs/>
          <w:color w:val="0000FF"/>
          <w:sz w:val="24"/>
        </w:rPr>
        <w:t>名以上视力残疾儿童的能力。</w:t>
      </w:r>
    </w:p>
    <w:p w14:paraId="3FF7EEA8">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p>
    <w:p w14:paraId="268CA1C4">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感知觉训练：听觉、触觉、嗅觉和味觉训练。</w:t>
      </w:r>
    </w:p>
    <w:p w14:paraId="4029711D">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视功能训练：视觉注视、视觉追踪、视觉</w:t>
      </w:r>
      <w:r>
        <w:rPr>
          <w:rFonts w:hint="eastAsia" w:ascii="Times New Roman" w:hAnsi="Times New Roman" w:eastAsia="宋体" w:cs="仿宋"/>
          <w:sz w:val="24"/>
          <w:lang w:eastAsia="zh-CN"/>
        </w:rPr>
        <w:t>辨认</w:t>
      </w:r>
      <w:r>
        <w:rPr>
          <w:rFonts w:hint="eastAsia" w:ascii="Times New Roman" w:hAnsi="Times New Roman" w:eastAsia="宋体" w:cs="仿宋"/>
          <w:sz w:val="24"/>
        </w:rPr>
        <w:t>、视觉搜寻、视觉记忆训练。</w:t>
      </w:r>
    </w:p>
    <w:p w14:paraId="3ECB5B5E">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定向技能及行走训练：定向技能、行走技巧、导盲随行训练。</w:t>
      </w:r>
    </w:p>
    <w:p w14:paraId="4117A429">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生活适应能力训练：生活自理和社会适应能力训练。</w:t>
      </w:r>
    </w:p>
    <w:p w14:paraId="105B1AA1">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低视力儿童康复服务以非全日制形式进行，年度机构内基本康复服务时间不少于9 个月，每月不少于8天（每周2天），每天1次不少于1小时。</w:t>
      </w:r>
    </w:p>
    <w:p w14:paraId="3370A415">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社会融合活动每季度1次，每次不少于1小时</w:t>
      </w:r>
    </w:p>
    <w:p w14:paraId="623AF612">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年度康复服务周期内，完成初期、中期和末期评估，出具评估表。</w:t>
      </w:r>
    </w:p>
    <w:p w14:paraId="13F97574">
      <w:pPr>
        <w:widowControl w:val="0"/>
        <w:spacing w:line="340" w:lineRule="exact"/>
        <w:ind w:firstLine="482"/>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5.3工作台账</w:t>
      </w:r>
    </w:p>
    <w:p w14:paraId="48B93824">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康复服务档案齐全，包括残疾儿童康复服务登记表、初始状态评估表、康复训练计划、康复训练日志、阶段性评估表、训练出勤表。</w:t>
      </w:r>
    </w:p>
    <w:p w14:paraId="52631B90">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《残疾儿童康复救助平台》数据录入及时、准确、完备。</w:t>
      </w:r>
    </w:p>
    <w:p w14:paraId="753B1C9C">
      <w:pPr>
        <w:widowControl w:val="0"/>
        <w:spacing w:line="340" w:lineRule="exact"/>
        <w:ind w:firstLine="482"/>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5.4家长培训</w:t>
      </w:r>
    </w:p>
    <w:p w14:paraId="7578F650">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定期向家长提供每年不少于 4 次的相关培训，并有相关书面和视频记录；</w:t>
      </w:r>
    </w:p>
    <w:p w14:paraId="1CFAD10C">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家长了解在社区和家庭环境中进行康复训练的目标；</w:t>
      </w:r>
    </w:p>
    <w:p w14:paraId="3410BD23">
      <w:pPr>
        <w:widowControl w:val="0"/>
        <w:spacing w:line="340" w:lineRule="exact"/>
        <w:ind w:firstLine="482"/>
        <w:rPr>
          <w:rFonts w:ascii="Times New Roman" w:hAnsi="Times New Roman" w:eastAsia="宋体" w:cs="仿宋"/>
          <w:sz w:val="24"/>
        </w:rPr>
      </w:pPr>
      <w:r>
        <w:rPr>
          <w:rFonts w:ascii="Times New Roman" w:hAnsi="Times New Roman" w:eastAsia="宋体" w:cs="仿宋"/>
          <w:sz w:val="24"/>
        </w:rPr>
        <w:t>家长掌握基本康复训练的流程和组织实施方法。</w:t>
      </w:r>
    </w:p>
    <w:p w14:paraId="03769219">
      <w:pPr>
        <w:widowControl w:val="0"/>
        <w:spacing w:line="34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5.5</w:t>
      </w:r>
      <w:r>
        <w:rPr>
          <w:rFonts w:hint="eastAsia" w:ascii="Times New Roman" w:hAnsi="Times New Roman" w:eastAsia="宋体" w:cs="仿宋"/>
          <w:b/>
          <w:sz w:val="24"/>
        </w:rPr>
        <w:t>业务指导</w:t>
      </w:r>
    </w:p>
    <w:p w14:paraId="62AA3DAB">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开展儿童转介或跟踪服务；</w:t>
      </w:r>
    </w:p>
    <w:p w14:paraId="03D3C61A">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面向社区提供家庭康复延伸的培训；</w:t>
      </w:r>
    </w:p>
    <w:p w14:paraId="503D89F1">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根据服务对象特点提供指导服务、派发相关宣传资料；</w:t>
      </w:r>
    </w:p>
    <w:p w14:paraId="2958C771">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结合“爱眼日”“全国助残日”等专题日，参与公益活动，每年不少于2次；</w:t>
      </w:r>
    </w:p>
    <w:p w14:paraId="45AE487A">
      <w:pPr>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对于康复效果明显，符合入园、入学条件的儿童，及时动员家长办理入园、入学手续，并跟踪进行康复服务指导。</w:t>
      </w:r>
    </w:p>
    <w:p w14:paraId="293E7E4A">
      <w:pPr>
        <w:widowControl w:val="0"/>
        <w:spacing w:line="34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5.6</w:t>
      </w:r>
      <w:r>
        <w:rPr>
          <w:rFonts w:hint="eastAsia" w:ascii="Times New Roman" w:hAnsi="Times New Roman" w:eastAsia="宋体" w:cs="仿宋"/>
          <w:b/>
          <w:sz w:val="24"/>
        </w:rPr>
        <w:t>质量控制</w:t>
      </w:r>
    </w:p>
    <w:p w14:paraId="417E5D82">
      <w:pPr>
        <w:widowControl w:val="0"/>
        <w:spacing w:line="340" w:lineRule="exact"/>
        <w:ind w:firstLine="482"/>
        <w:rPr>
          <w:rFonts w:hint="eastAsia" w:ascii="Times New Roman" w:hAnsi="Times New Roman" w:eastAsia="宋体" w:cs="仿宋"/>
          <w:b w:val="0"/>
          <w:bCs/>
          <w:sz w:val="24"/>
        </w:rPr>
      </w:pPr>
      <w:r>
        <w:rPr>
          <w:rFonts w:hint="eastAsia" w:ascii="Times New Roman" w:hAnsi="Times New Roman" w:eastAsia="宋体" w:cs="仿宋"/>
          <w:b w:val="0"/>
          <w:bCs/>
          <w:sz w:val="24"/>
        </w:rPr>
        <w:t>有需求的视力残疾儿童康复评估、康复服务建档率 100%；</w:t>
      </w:r>
    </w:p>
    <w:p w14:paraId="445A8296">
      <w:pPr>
        <w:widowControl w:val="0"/>
        <w:spacing w:line="340" w:lineRule="exact"/>
        <w:ind w:firstLine="482"/>
        <w:rPr>
          <w:rFonts w:hint="eastAsia" w:ascii="Times New Roman" w:hAnsi="Times New Roman" w:eastAsia="宋体" w:cs="仿宋"/>
          <w:b w:val="0"/>
          <w:bCs/>
          <w:sz w:val="24"/>
        </w:rPr>
      </w:pPr>
      <w:r>
        <w:rPr>
          <w:rFonts w:hint="eastAsia" w:ascii="Times New Roman" w:hAnsi="Times New Roman" w:eastAsia="宋体" w:cs="仿宋"/>
          <w:b w:val="0"/>
          <w:bCs/>
          <w:sz w:val="24"/>
        </w:rPr>
        <w:t>家长满意度达 90%以上；</w:t>
      </w:r>
    </w:p>
    <w:p w14:paraId="1D4059C5">
      <w:pPr>
        <w:widowControl w:val="0"/>
        <w:spacing w:line="340" w:lineRule="exact"/>
        <w:ind w:firstLine="482"/>
        <w:rPr>
          <w:rFonts w:hint="eastAsia" w:ascii="Times New Roman" w:hAnsi="Times New Roman" w:eastAsia="宋体" w:cs="仿宋"/>
          <w:b w:val="0"/>
          <w:bCs/>
          <w:sz w:val="24"/>
        </w:rPr>
      </w:pPr>
      <w:r>
        <w:rPr>
          <w:rFonts w:hint="eastAsia" w:ascii="Times New Roman" w:hAnsi="Times New Roman" w:eastAsia="宋体" w:cs="仿宋"/>
          <w:b w:val="0"/>
          <w:bCs/>
          <w:sz w:val="24"/>
        </w:rPr>
        <w:t>组织视力残疾儿童参加社会融合活动每年不少于4次。</w:t>
      </w:r>
    </w:p>
    <w:p w14:paraId="5A26BC17">
      <w:pPr>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lang w:eastAsia="zh-CN"/>
        </w:rPr>
        <w:t>（</w:t>
      </w:r>
      <w:r>
        <w:rPr>
          <w:rFonts w:hint="eastAsia" w:ascii="Times New Roman" w:hAnsi="Times New Roman" w:eastAsia="宋体" w:cs="仿宋"/>
          <w:b/>
          <w:sz w:val="24"/>
          <w:lang w:val="en-US" w:eastAsia="zh-CN"/>
        </w:rPr>
        <w:t>二</w:t>
      </w:r>
      <w:r>
        <w:rPr>
          <w:rFonts w:hint="eastAsia" w:ascii="Times New Roman" w:hAnsi="Times New Roman" w:eastAsia="宋体" w:cs="仿宋"/>
          <w:b/>
          <w:sz w:val="24"/>
          <w:lang w:eastAsia="zh-CN"/>
        </w:rPr>
        <w:t>）</w:t>
      </w:r>
      <w:r>
        <w:rPr>
          <w:rFonts w:hint="eastAsia" w:ascii="Times New Roman" w:hAnsi="Times New Roman" w:eastAsia="宋体" w:cs="仿宋"/>
          <w:b/>
          <w:sz w:val="24"/>
        </w:rPr>
        <w:t>定点机构考核评价，每季度组织考核1次。</w:t>
      </w:r>
    </w:p>
    <w:p w14:paraId="46283939">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lang w:val="en-US" w:eastAsia="zh-CN"/>
        </w:rPr>
        <w:t>1、</w:t>
      </w:r>
      <w:r>
        <w:rPr>
          <w:rFonts w:hint="eastAsia" w:ascii="Times New Roman" w:hAnsi="Times New Roman" w:eastAsia="宋体" w:cs="仿宋"/>
          <w:sz w:val="24"/>
        </w:rPr>
        <w:t>定点机构评估核查、信息备案、规范流程、档案管理、安全管理、动态调整等年度评价工作，由</w:t>
      </w:r>
      <w:r>
        <w:rPr>
          <w:rFonts w:hint="eastAsia" w:ascii="Times New Roman" w:hAnsi="Times New Roman" w:eastAsia="宋体" w:cs="仿宋"/>
          <w:sz w:val="24"/>
          <w:lang w:eastAsia="zh-CN"/>
        </w:rPr>
        <w:t>沭阳</w:t>
      </w:r>
      <w:r>
        <w:rPr>
          <w:rFonts w:hint="eastAsia" w:ascii="Times New Roman" w:hAnsi="Times New Roman" w:eastAsia="宋体" w:cs="仿宋"/>
          <w:sz w:val="24"/>
        </w:rPr>
        <w:t>县残疾人联合会会同县级教育、民政、财政、人社、医保、卫生健康等部门按照评估细则组织开展。</w:t>
      </w:r>
    </w:p>
    <w:p w14:paraId="7912D05D">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lang w:val="en-US" w:eastAsia="zh-CN"/>
        </w:rPr>
        <w:t>2、</w:t>
      </w:r>
      <w:r>
        <w:rPr>
          <w:rFonts w:hint="eastAsia" w:ascii="Times New Roman" w:hAnsi="Times New Roman" w:eastAsia="宋体" w:cs="仿宋"/>
          <w:sz w:val="24"/>
        </w:rPr>
        <w:t>定点机构性质、法人代表、执业地点、执业范围、业务项目发生变动，应向</w:t>
      </w:r>
      <w:r>
        <w:rPr>
          <w:rFonts w:hint="eastAsia" w:ascii="Times New Roman" w:hAnsi="Times New Roman" w:eastAsia="宋体" w:cs="仿宋"/>
          <w:sz w:val="24"/>
          <w:lang w:val="en-US" w:eastAsia="zh-CN"/>
        </w:rPr>
        <w:t>沭阳</w:t>
      </w:r>
      <w:r>
        <w:rPr>
          <w:rFonts w:hint="eastAsia" w:ascii="Times New Roman" w:hAnsi="Times New Roman" w:eastAsia="宋体" w:cs="仿宋"/>
          <w:sz w:val="24"/>
        </w:rPr>
        <w:t>县残疾人联合会报备，并在变动之日起1个月内接受重新评估。</w:t>
      </w:r>
    </w:p>
    <w:p w14:paraId="6E7844BE">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sz w:val="24"/>
          <w:lang w:val="en-US" w:eastAsia="zh-CN"/>
        </w:rPr>
        <w:t>3、</w:t>
      </w:r>
      <w:r>
        <w:rPr>
          <w:rFonts w:hint="eastAsia" w:ascii="Times New Roman" w:hAnsi="Times New Roman" w:eastAsia="宋体" w:cs="仿宋"/>
          <w:sz w:val="24"/>
        </w:rPr>
        <w:t>定点机构年度评估</w:t>
      </w:r>
      <w:r>
        <w:rPr>
          <w:rFonts w:hint="eastAsia" w:ascii="Times New Roman" w:hAnsi="Times New Roman" w:eastAsia="宋体" w:cs="仿宋"/>
          <w:color w:val="000000"/>
          <w:sz w:val="24"/>
        </w:rPr>
        <w:t>不合格或存在违规（法）行为的，依据《江苏省残疾儿童基本康复服务管理暂行办法》</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lang w:val="en-US" w:eastAsia="zh-CN"/>
        </w:rPr>
        <w:t>苏残发〔2020〕23号</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w:t>
      </w:r>
      <w:r>
        <w:rPr>
          <w:rFonts w:hint="eastAsia" w:ascii="Times New Roman" w:hAnsi="Times New Roman" w:eastAsia="宋体" w:cs="仿宋"/>
          <w:color w:val="000000"/>
          <w:sz w:val="24"/>
          <w:lang w:val="en-US" w:eastAsia="zh-CN"/>
        </w:rPr>
        <w:t>宿迁市残疾儿童定点康复机构绩效考核办法和细则</w:t>
      </w:r>
      <w:r>
        <w:rPr>
          <w:rFonts w:hint="eastAsia" w:ascii="Times New Roman" w:hAnsi="Times New Roman" w:eastAsia="宋体" w:cs="仿宋"/>
          <w:color w:val="000000"/>
          <w:sz w:val="24"/>
        </w:rPr>
        <w:t>》，给予相应处罚。</w:t>
      </w:r>
    </w:p>
    <w:p w14:paraId="76C1D678">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4、</w:t>
      </w:r>
      <w:r>
        <w:rPr>
          <w:rFonts w:hint="eastAsia" w:ascii="Times New Roman" w:hAnsi="Times New Roman" w:eastAsia="宋体" w:cs="仿宋"/>
          <w:color w:val="000000"/>
          <w:sz w:val="24"/>
        </w:rPr>
        <w:t>对存在以下问题的定点机构，一律解除服务合同，取消定点机构资格：</w:t>
      </w:r>
    </w:p>
    <w:p w14:paraId="63D58562">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不按合同要求、自行降低服务标准的，不执行《江苏省残疾儿童基本康复服务实施规范（2023版）》和宿迁市、</w:t>
      </w:r>
      <w:r>
        <w:rPr>
          <w:rFonts w:hint="eastAsia" w:ascii="Times New Roman" w:hAnsi="Times New Roman" w:eastAsia="宋体" w:cs="仿宋"/>
          <w:color w:val="000000"/>
          <w:sz w:val="24"/>
          <w:lang w:eastAsia="zh-CN"/>
        </w:rPr>
        <w:t>沭阳</w:t>
      </w:r>
      <w:r>
        <w:rPr>
          <w:rFonts w:hint="eastAsia" w:ascii="Times New Roman" w:hAnsi="Times New Roman" w:eastAsia="宋体" w:cs="仿宋"/>
          <w:color w:val="000000"/>
          <w:sz w:val="24"/>
        </w:rPr>
        <w:t>县地方技术标准的，两次告诫或通报批评后仍不改正的；或发生严重安全及重大责任事故的机构，解除服务合同，取消定点康复机构资格。</w:t>
      </w:r>
    </w:p>
    <w:p w14:paraId="50426028">
      <w:pPr>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按照绩效考核，年度考核不合格的，且不完成限期整改的；</w:t>
      </w:r>
    </w:p>
    <w:p w14:paraId="578D0B0A">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color w:val="000000"/>
          <w:sz w:val="24"/>
          <w:lang w:val="en-US" w:eastAsia="zh-CN"/>
        </w:rPr>
        <w:t>弄虚作假，开具假证明、假服务记录、假票</w:t>
      </w:r>
      <w:r>
        <w:rPr>
          <w:rFonts w:hint="eastAsia" w:ascii="Times New Roman" w:hAnsi="Times New Roman" w:eastAsia="宋体" w:cs="仿宋"/>
          <w:color w:val="000000"/>
          <w:sz w:val="24"/>
        </w:rPr>
        <w:t>据等行为套取政府购买服务资金的，限期整改并退回套取资金，情节严重涉嫌犯罪的，移送司法</w:t>
      </w:r>
      <w:r>
        <w:rPr>
          <w:rFonts w:hint="eastAsia" w:ascii="Times New Roman" w:hAnsi="Times New Roman" w:eastAsia="宋体" w:cs="仿宋"/>
          <w:sz w:val="24"/>
        </w:rPr>
        <w:t>机关依法处理。</w:t>
      </w:r>
    </w:p>
    <w:p w14:paraId="1939E239">
      <w:pPr>
        <w:widowControl w:val="0"/>
        <w:spacing w:line="340" w:lineRule="exact"/>
        <w:ind w:firstLine="482"/>
        <w:rPr>
          <w:rFonts w:hint="eastAsia" w:ascii="Times New Roman" w:hAnsi="Times New Roman" w:eastAsia="宋体" w:cs="仿宋"/>
          <w:b/>
          <w:sz w:val="24"/>
          <w:lang w:eastAsia="zh-CN"/>
        </w:rPr>
      </w:pPr>
    </w:p>
    <w:p w14:paraId="58C7243F">
      <w:pPr>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lang w:eastAsia="zh-CN"/>
        </w:rPr>
        <w:t>（</w:t>
      </w:r>
      <w:r>
        <w:rPr>
          <w:rFonts w:hint="eastAsia" w:ascii="Times New Roman" w:hAnsi="Times New Roman" w:eastAsia="宋体" w:cs="仿宋"/>
          <w:b/>
          <w:sz w:val="24"/>
          <w:lang w:val="en-US" w:eastAsia="zh-CN"/>
        </w:rPr>
        <w:t>三</w:t>
      </w:r>
      <w:r>
        <w:rPr>
          <w:rFonts w:hint="eastAsia" w:ascii="Times New Roman" w:hAnsi="Times New Roman" w:eastAsia="宋体" w:cs="仿宋"/>
          <w:b/>
          <w:sz w:val="24"/>
          <w:lang w:eastAsia="zh-CN"/>
        </w:rPr>
        <w:t>）</w:t>
      </w:r>
      <w:r>
        <w:rPr>
          <w:rFonts w:hint="eastAsia" w:ascii="Times New Roman" w:hAnsi="Times New Roman" w:eastAsia="宋体" w:cs="仿宋"/>
          <w:b/>
          <w:sz w:val="24"/>
        </w:rPr>
        <w:t>绩效评价与考核结果运用：</w:t>
      </w:r>
    </w:p>
    <w:p w14:paraId="1370592F">
      <w:pPr>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lang w:val="en-US" w:eastAsia="zh-CN"/>
        </w:rPr>
        <w:t>1、</w:t>
      </w:r>
      <w:r>
        <w:rPr>
          <w:rFonts w:hint="eastAsia" w:ascii="Times New Roman" w:hAnsi="Times New Roman" w:eastAsia="宋体" w:cs="仿宋"/>
          <w:sz w:val="24"/>
        </w:rPr>
        <w:t>按照财政资金绩效评价相关规定开展，由</w:t>
      </w:r>
      <w:r>
        <w:rPr>
          <w:rFonts w:hint="eastAsia" w:ascii="Times New Roman" w:hAnsi="Times New Roman" w:eastAsia="宋体" w:cs="仿宋"/>
          <w:sz w:val="24"/>
          <w:lang w:eastAsia="zh-CN"/>
        </w:rPr>
        <w:t>沭阳</w:t>
      </w:r>
      <w:r>
        <w:rPr>
          <w:rFonts w:hint="eastAsia" w:ascii="Times New Roman" w:hAnsi="Times New Roman" w:eastAsia="宋体" w:cs="仿宋"/>
          <w:sz w:val="24"/>
        </w:rPr>
        <w:t>县残疾人联合会自主或委托第三方实施，评价结果作为今后承接主体选择、预算安排及政策调整的重要依据。定点机构年度考核不合格的，</w:t>
      </w:r>
      <w:r>
        <w:rPr>
          <w:rFonts w:hint="eastAsia" w:ascii="Times New Roman" w:hAnsi="Times New Roman" w:eastAsia="宋体" w:cs="仿宋"/>
          <w:sz w:val="24"/>
          <w:lang w:eastAsia="zh-CN"/>
        </w:rPr>
        <w:t>沭阳</w:t>
      </w:r>
      <w:r>
        <w:rPr>
          <w:rFonts w:hint="eastAsia" w:ascii="Times New Roman" w:hAnsi="Times New Roman" w:eastAsia="宋体" w:cs="仿宋"/>
          <w:sz w:val="24"/>
        </w:rPr>
        <w:t>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p>
    <w:p w14:paraId="4CF61A1E">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附件1、省残联等六部门关于印发《江苏省残疾儿童基本康复服务管理暂行办法》的通知（苏残发〔2020〕23 号）</w:t>
      </w:r>
    </w:p>
    <w:p w14:paraId="55076BE5">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附件2、省残联等四部门关于印发《江苏省残疾儿童基本康复服务实施规范（2023版）》的通知（苏残规〔2023〕1 号）</w:t>
      </w:r>
    </w:p>
    <w:p w14:paraId="1BB65471">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附件3、市残联等四部门关于印发《宿迁市残疾儿童基本康复服务实施规范(2024年版)》的通知（宿残联发〔2024〕11号）</w:t>
      </w:r>
    </w:p>
    <w:p w14:paraId="6FE7B419">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注：以上附件，供应商须遵照和执行（如果有新文件，按照最新文件执行）。</w:t>
      </w:r>
    </w:p>
    <w:p w14:paraId="402A7F44">
      <w:pPr>
        <w:widowControl w:val="0"/>
        <w:spacing w:line="340" w:lineRule="exact"/>
        <w:ind w:firstLine="482"/>
        <w:rPr>
          <w:rFonts w:hint="eastAsia" w:ascii="Times New Roman" w:hAnsi="Times New Roman" w:eastAsia="宋体" w:cs="仿宋"/>
          <w:b/>
          <w:color w:val="000000"/>
          <w:sz w:val="24"/>
          <w:lang w:val="en-US" w:eastAsia="zh-CN"/>
        </w:rPr>
      </w:pPr>
    </w:p>
    <w:p w14:paraId="1D33132C">
      <w:pPr>
        <w:widowControl w:val="0"/>
        <w:spacing w:line="340" w:lineRule="exact"/>
        <w:ind w:firstLine="482"/>
        <w:rPr>
          <w:rFonts w:ascii="Times New Roman" w:hAnsi="Times New Roman" w:eastAsia="宋体" w:cs="仿宋"/>
          <w:b/>
          <w:bCs/>
          <w:color w:val="000000"/>
          <w:sz w:val="24"/>
          <w:lang w:val="en-US" w:eastAsia="zh-CN"/>
        </w:rPr>
      </w:pPr>
      <w:r>
        <w:rPr>
          <w:rFonts w:hint="eastAsia" w:ascii="Times New Roman" w:hAnsi="Times New Roman" w:eastAsia="宋体" w:cs="仿宋"/>
          <w:b/>
          <w:color w:val="000000"/>
          <w:sz w:val="24"/>
          <w:lang w:val="en-US" w:eastAsia="zh-CN"/>
        </w:rPr>
        <w:t>五、</w:t>
      </w:r>
      <w:r>
        <w:rPr>
          <w:rFonts w:hint="eastAsia" w:ascii="Times New Roman" w:hAnsi="Times New Roman" w:eastAsia="宋体" w:cs="仿宋"/>
          <w:b/>
          <w:bCs/>
          <w:color w:val="000000"/>
          <w:sz w:val="24"/>
          <w:lang w:val="en-US" w:eastAsia="zh-CN"/>
        </w:rPr>
        <w:t>其他</w:t>
      </w:r>
    </w:p>
    <w:p w14:paraId="05D41E6E">
      <w:pPr>
        <w:widowControl w:val="0"/>
        <w:spacing w:line="340" w:lineRule="exact"/>
        <w:ind w:firstLine="482"/>
        <w:rPr>
          <w:rFonts w:hint="eastAsia" w:ascii="Times New Roman" w:hAnsi="Times New Roman" w:eastAsia="宋体" w:cs="仿宋"/>
          <w:color w:val="000000"/>
          <w:sz w:val="24"/>
        </w:rPr>
      </w:pPr>
      <w:r>
        <w:rPr>
          <w:rFonts w:hint="eastAsia" w:ascii="Times New Roman" w:hAnsi="Times New Roman" w:eastAsia="宋体" w:cs="仿宋"/>
          <w:color w:val="000000"/>
          <w:sz w:val="24"/>
        </w:rPr>
        <w:t>1、</w:t>
      </w:r>
      <w:r>
        <w:rPr>
          <w:rFonts w:ascii="Times New Roman" w:hAnsi="Times New Roman" w:eastAsia="宋体" w:cs="仿宋"/>
          <w:color w:val="000000"/>
          <w:sz w:val="24"/>
        </w:rPr>
        <w:t>本项目</w:t>
      </w:r>
      <w:r>
        <w:rPr>
          <w:rFonts w:hint="eastAsia" w:ascii="Times New Roman" w:hAnsi="Times New Roman" w:eastAsia="宋体" w:cs="仿宋"/>
          <w:color w:val="000000"/>
          <w:sz w:val="24"/>
        </w:rPr>
        <w:t>采用固定价，投标人无需进行报价。最终按考核结果据实结算。不接受备选的投标方案或有选择的报价。价格内容主要包含：所有</w:t>
      </w:r>
      <w:r>
        <w:rPr>
          <w:rFonts w:hint="eastAsia" w:ascii="Times New Roman" w:hAnsi="Times New Roman" w:eastAsia="宋体" w:cs="仿宋"/>
          <w:color w:val="000000"/>
          <w:sz w:val="24"/>
          <w:lang w:eastAsia="zh-CN"/>
        </w:rPr>
        <w:t>涉及</w:t>
      </w:r>
      <w:r>
        <w:rPr>
          <w:rFonts w:hint="eastAsia" w:ascii="Times New Roman" w:hAnsi="Times New Roman" w:eastAsia="宋体" w:cs="仿宋"/>
          <w:color w:val="000000"/>
          <w:sz w:val="24"/>
        </w:rPr>
        <w:t>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000000"/>
          <w:sz w:val="24"/>
          <w:lang w:val="en-US" w:eastAsia="zh-CN"/>
        </w:rPr>
        <w:t>用等所有与本项目关联的一切费用；必须包括合同项目成本费、税费及其他不</w:t>
      </w:r>
      <w:r>
        <w:rPr>
          <w:rFonts w:hint="eastAsia" w:ascii="Times New Roman" w:hAnsi="Times New Roman" w:eastAsia="宋体" w:cs="仿宋"/>
          <w:color w:val="000000"/>
          <w:sz w:val="24"/>
        </w:rPr>
        <w:t>可预见费等全部费用。</w:t>
      </w:r>
    </w:p>
    <w:p w14:paraId="77C5F486">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2、供应商投标时应充分考虑所有可能影响到后期服务的因素，自行踏勘了解，因勘察不足或不全面，导致投标人投标和经营管理产生的风险由投标人自行承担。一旦最终中标，单价将包定，不予调整。</w:t>
      </w:r>
    </w:p>
    <w:p w14:paraId="1E3176CE">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3、</w:t>
      </w:r>
      <w:r>
        <w:rPr>
          <w:rFonts w:hint="eastAsia" w:ascii="Times New Roman" w:hAnsi="Times New Roman" w:eastAsia="宋体" w:cs="仿宋"/>
          <w:color w:val="000000"/>
          <w:sz w:val="24"/>
          <w:lang w:val="en-US" w:eastAsia="zh-CN"/>
        </w:rPr>
        <w:t>中标后，中标供应商自行负责为完成</w:t>
      </w:r>
      <w:r>
        <w:rPr>
          <w:rFonts w:hint="eastAsia" w:ascii="Times New Roman" w:hAnsi="Times New Roman" w:eastAsia="宋体" w:cs="仿宋"/>
          <w:color w:val="000000"/>
          <w:sz w:val="24"/>
          <w:highlight w:val="none"/>
          <w:lang w:val="en-US" w:eastAsia="zh-CN"/>
        </w:rPr>
        <w:t>本项目而提供的对应</w:t>
      </w:r>
      <w:r>
        <w:rPr>
          <w:rFonts w:hint="eastAsia" w:ascii="Times New Roman" w:hAnsi="Times New Roman" w:eastAsia="宋体" w:cs="仿宋"/>
          <w:color w:val="000000"/>
          <w:sz w:val="24"/>
          <w:lang w:val="en-US" w:eastAsia="zh-CN"/>
        </w:rPr>
        <w:t>人员工资及其他相关费用。</w:t>
      </w:r>
    </w:p>
    <w:p w14:paraId="7942365D">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4、重要指标：招标文件在采购需求中列出了采购人可以接受的最低服务指标，投标供应商必须对服务要求中各项服务和指标进行实质性响应，所推荐的每一项服务在性能上不能低于所列的各项指标。</w:t>
      </w:r>
    </w:p>
    <w:p w14:paraId="55B10F09">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注：以上与本项目关联的人员及其他配置安排，均须满足本项目功能服务需求和采购人需求。</w:t>
      </w:r>
    </w:p>
    <w:p w14:paraId="04BA0A0F">
      <w:pPr>
        <w:keepNext w:val="0"/>
        <w:keepLines w:val="0"/>
        <w:pageBreakBefore w:val="0"/>
        <w:widowControl w:val="0"/>
        <w:spacing w:line="340" w:lineRule="exact"/>
        <w:ind w:firstLine="480"/>
        <w:rPr>
          <w:rFonts w:hint="eastAsia" w:ascii="Times New Roman" w:hAnsi="Times New Roman" w:eastAsia="宋体" w:cs="仿宋"/>
          <w:color w:val="000000"/>
          <w:sz w:val="24"/>
        </w:rPr>
      </w:pPr>
      <w:r>
        <w:rPr>
          <w:rFonts w:hint="eastAsia" w:ascii="Times New Roman" w:hAnsi="Times New Roman" w:eastAsia="宋体" w:cs="仿宋"/>
          <w:color w:val="000000"/>
          <w:sz w:val="24"/>
        </w:rPr>
        <w:t>5、保险要求：供应商应为在训儿童购买意外伤害保险或公众责任险。</w:t>
      </w:r>
    </w:p>
    <w:p w14:paraId="01CB7621">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09871222">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5C589E94">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2F37F64E">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4663EBFA">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23469CCB">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4CF50997">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4A1A7EB7">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7CC99AC7">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518B2A95">
      <w:pPr>
        <w:keepNext w:val="0"/>
        <w:keepLines w:val="0"/>
        <w:pageBreakBefore w:val="0"/>
        <w:widowControl w:val="0"/>
        <w:spacing w:line="340" w:lineRule="exact"/>
        <w:ind w:firstLine="480"/>
        <w:rPr>
          <w:rFonts w:hint="eastAsia" w:ascii="Times New Roman" w:hAnsi="Times New Roman" w:eastAsia="宋体" w:cs="仿宋"/>
          <w:color w:val="000000"/>
          <w:sz w:val="24"/>
        </w:rPr>
      </w:pPr>
    </w:p>
    <w:p w14:paraId="1BF367E1">
      <w:pPr>
        <w:keepNext w:val="0"/>
        <w:keepLines w:val="0"/>
        <w:pageBreakBefore w:val="0"/>
        <w:widowControl w:val="0"/>
        <w:spacing w:line="340" w:lineRule="exact"/>
        <w:ind w:firstLine="480"/>
        <w:jc w:val="center"/>
        <w:rPr>
          <w:rFonts w:hint="eastAsia" w:ascii="仿宋" w:hAnsi="仿宋" w:cs="仿宋"/>
          <w:b/>
          <w:bCs/>
          <w:color w:val="000000"/>
          <w:sz w:val="28"/>
          <w:szCs w:val="28"/>
          <w:highlight w:val="none"/>
          <w:lang w:val="en-US" w:eastAsia="zh-CN"/>
        </w:rPr>
      </w:pPr>
    </w:p>
    <w:p w14:paraId="7F19E078">
      <w:pPr>
        <w:keepNext w:val="0"/>
        <w:keepLines w:val="0"/>
        <w:pageBreakBefore w:val="0"/>
        <w:widowControl w:val="0"/>
        <w:spacing w:line="340" w:lineRule="exact"/>
        <w:ind w:firstLine="480"/>
        <w:jc w:val="center"/>
        <w:rPr>
          <w:rFonts w:hint="eastAsia" w:ascii="仿宋" w:hAnsi="仿宋" w:cs="仿宋"/>
          <w:b/>
          <w:bCs/>
          <w:color w:val="000000"/>
          <w:sz w:val="28"/>
          <w:szCs w:val="28"/>
          <w:highlight w:val="none"/>
          <w:lang w:val="en-US" w:eastAsia="zh-CN"/>
        </w:rPr>
      </w:pPr>
    </w:p>
    <w:p w14:paraId="1BC81505">
      <w:pPr>
        <w:keepNext w:val="0"/>
        <w:keepLines w:val="0"/>
        <w:pageBreakBefore w:val="0"/>
        <w:widowControl w:val="0"/>
        <w:spacing w:line="340" w:lineRule="exact"/>
        <w:ind w:firstLine="480"/>
        <w:jc w:val="center"/>
        <w:rPr>
          <w:rFonts w:hint="eastAsia" w:ascii="仿宋" w:hAnsi="仿宋" w:eastAsia="宋体" w:cs="仿宋"/>
          <w:b/>
          <w:bCs/>
          <w:color w:val="000000"/>
          <w:sz w:val="28"/>
          <w:szCs w:val="28"/>
          <w:highlight w:val="none"/>
          <w:lang w:eastAsia="zh-CN"/>
        </w:rPr>
      </w:pPr>
      <w:r>
        <w:rPr>
          <w:rFonts w:hint="eastAsia" w:ascii="仿宋" w:hAnsi="仿宋" w:cs="仿宋"/>
          <w:b/>
          <w:bCs/>
          <w:color w:val="000000"/>
          <w:sz w:val="28"/>
          <w:szCs w:val="28"/>
          <w:highlight w:val="none"/>
          <w:lang w:val="en-US" w:eastAsia="zh-CN"/>
        </w:rPr>
        <w:t>采购包2：</w:t>
      </w:r>
      <w:r>
        <w:rPr>
          <w:rFonts w:hint="eastAsia" w:ascii="仿宋" w:hAnsi="仿宋" w:eastAsia="宋体" w:cs="仿宋"/>
          <w:b/>
          <w:bCs/>
          <w:color w:val="000000"/>
          <w:sz w:val="28"/>
          <w:szCs w:val="28"/>
          <w:highlight w:val="none"/>
          <w:lang w:eastAsia="zh-CN"/>
        </w:rPr>
        <w:t>沭阳县2026-2028年残疾儿童基本康复服务--听力言语</w:t>
      </w:r>
    </w:p>
    <w:p w14:paraId="335C1FA1">
      <w:pPr>
        <w:keepNext w:val="0"/>
        <w:keepLines w:val="0"/>
        <w:pageBreakBefore w:val="0"/>
        <w:widowControl w:val="0"/>
        <w:spacing w:line="340" w:lineRule="exact"/>
        <w:ind w:firstLine="480"/>
        <w:jc w:val="center"/>
        <w:rPr>
          <w:rFonts w:hint="eastAsia" w:ascii="Times New Roman" w:hAnsi="Times New Roman" w:eastAsia="宋体" w:cs="仿宋"/>
          <w:b/>
          <w:bCs/>
          <w:color w:val="000000"/>
          <w:sz w:val="28"/>
          <w:szCs w:val="28"/>
        </w:rPr>
      </w:pPr>
      <w:r>
        <w:rPr>
          <w:rFonts w:hint="eastAsia" w:ascii="仿宋" w:hAnsi="仿宋" w:eastAsia="宋体" w:cs="仿宋"/>
          <w:b/>
          <w:bCs/>
          <w:color w:val="000000"/>
          <w:sz w:val="28"/>
          <w:szCs w:val="28"/>
          <w:highlight w:val="none"/>
          <w:lang w:eastAsia="zh-CN"/>
        </w:rPr>
        <w:t>康复服务机构采购项目</w:t>
      </w:r>
    </w:p>
    <w:p w14:paraId="7223C521">
      <w:pPr>
        <w:keepNext w:val="0"/>
        <w:keepLines w:val="0"/>
        <w:pageBreakBefore w:val="0"/>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项目属性：服务类项目。</w:t>
      </w:r>
    </w:p>
    <w:p w14:paraId="458775ED">
      <w:pPr>
        <w:keepNext w:val="0"/>
        <w:keepLines w:val="0"/>
        <w:pageBreakBefore w:val="0"/>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本项目采购标的对应的中小企业划分标准所属行业：其他未列明行业</w:t>
      </w:r>
    </w:p>
    <w:p w14:paraId="36EC8ADB">
      <w:pPr>
        <w:keepNext w:val="0"/>
        <w:keepLines w:val="0"/>
        <w:pageBreakBefore w:val="0"/>
        <w:widowControl w:val="0"/>
        <w:spacing w:line="340" w:lineRule="exact"/>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本项目不接受进口产品。</w:t>
      </w:r>
    </w:p>
    <w:p w14:paraId="56F7F209">
      <w:pPr>
        <w:keepNext w:val="0"/>
        <w:keepLines w:val="0"/>
        <w:pageBreakBefore w:val="0"/>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一</w:t>
      </w:r>
      <w:r>
        <w:rPr>
          <w:rFonts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lang w:val="en-US" w:eastAsia="zh-CN"/>
        </w:rPr>
        <w:t>项目概况</w:t>
      </w:r>
    </w:p>
    <w:p w14:paraId="4E393DCE">
      <w:pPr>
        <w:keepNext w:val="0"/>
        <w:keepLines w:val="0"/>
        <w:pageBreakBefore w:val="0"/>
        <w:widowControl w:val="0"/>
        <w:spacing w:line="34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采购包</w:t>
      </w:r>
      <w:r>
        <w:rPr>
          <w:rFonts w:hint="eastAsia" w:ascii="宋体" w:hAnsi="宋体" w:eastAsia="宋体" w:cs="宋体"/>
          <w:sz w:val="24"/>
          <w:szCs w:val="24"/>
        </w:rPr>
        <w:t>名称：</w:t>
      </w:r>
      <w:r>
        <w:rPr>
          <w:rFonts w:hint="eastAsia" w:ascii="仿宋" w:hAnsi="仿宋" w:eastAsia="宋体" w:cs="仿宋"/>
          <w:color w:val="000000"/>
          <w:sz w:val="24"/>
          <w:szCs w:val="24"/>
          <w:highlight w:val="none"/>
          <w:lang w:eastAsia="zh-CN"/>
        </w:rPr>
        <w:t>沭阳县2026-2028年残疾儿童基本康复服务--听力言语康复服务机构采购项目</w:t>
      </w:r>
    </w:p>
    <w:p w14:paraId="68B8A698">
      <w:pPr>
        <w:keepNext w:val="0"/>
        <w:keepLines w:val="0"/>
        <w:pageBreakBefore w:val="0"/>
        <w:widowControl w:val="0"/>
        <w:spacing w:line="340" w:lineRule="exact"/>
        <w:ind w:firstLine="480"/>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2、采购内容：</w:t>
      </w:r>
      <w:r>
        <w:rPr>
          <w:rFonts w:hint="eastAsia" w:ascii="Times New Roman" w:hAnsi="Times New Roman" w:eastAsia="宋体" w:cs="仿宋"/>
          <w:color w:val="000000"/>
          <w:sz w:val="24"/>
          <w:szCs w:val="24"/>
          <w:highlight w:val="none"/>
        </w:rPr>
        <w:t>对具有</w:t>
      </w:r>
      <w:r>
        <w:rPr>
          <w:rFonts w:hint="eastAsia" w:ascii="Times New Roman" w:hAnsi="Times New Roman" w:eastAsia="宋体" w:cs="仿宋"/>
          <w:color w:val="000000"/>
          <w:sz w:val="24"/>
          <w:szCs w:val="24"/>
          <w:highlight w:val="none"/>
          <w:lang w:val="en-US" w:eastAsia="zh-CN"/>
        </w:rPr>
        <w:t>沭阳</w:t>
      </w:r>
      <w:r>
        <w:rPr>
          <w:rFonts w:hint="eastAsia" w:ascii="Times New Roman" w:hAnsi="Times New Roman" w:eastAsia="宋体" w:cs="仿宋"/>
          <w:color w:val="000000"/>
          <w:sz w:val="24"/>
          <w:szCs w:val="24"/>
          <w:highlight w:val="none"/>
        </w:rPr>
        <w:t>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000000"/>
          <w:spacing w:val="-20"/>
          <w:sz w:val="24"/>
          <w:szCs w:val="24"/>
          <w:highlight w:val="none"/>
          <w:lang w:eastAsia="zh-CN"/>
        </w:rPr>
        <w:t>听力言语</w:t>
      </w:r>
      <w:r>
        <w:rPr>
          <w:rFonts w:hint="eastAsia" w:ascii="Times New Roman" w:hAnsi="Times New Roman" w:eastAsia="宋体" w:cs="仿宋"/>
          <w:color w:val="000000"/>
          <w:sz w:val="24"/>
          <w:szCs w:val="24"/>
          <w:highlight w:val="none"/>
        </w:rPr>
        <w:t>残疾</w:t>
      </w:r>
      <w:r>
        <w:rPr>
          <w:rFonts w:hint="eastAsia" w:ascii="Times New Roman" w:hAnsi="Times New Roman" w:eastAsia="宋体" w:cs="仿宋"/>
          <w:color w:val="000000"/>
          <w:sz w:val="24"/>
          <w:szCs w:val="24"/>
          <w:highlight w:val="none"/>
          <w:lang w:val="en-US" w:eastAsia="zh-CN"/>
        </w:rPr>
        <w:t>儿童</w:t>
      </w:r>
      <w:r>
        <w:rPr>
          <w:rFonts w:hint="eastAsia" w:ascii="Times New Roman" w:hAnsi="Times New Roman" w:eastAsia="宋体" w:cs="仿宋"/>
          <w:color w:val="000000"/>
          <w:sz w:val="24"/>
          <w:szCs w:val="24"/>
          <w:highlight w:val="none"/>
        </w:rPr>
        <w:t>开展基本康复服务</w:t>
      </w:r>
      <w:r>
        <w:rPr>
          <w:rFonts w:hint="eastAsia" w:ascii="Times New Roman" w:hAnsi="Times New Roman" w:eastAsia="宋体" w:cs="仿宋"/>
          <w:color w:val="000000"/>
          <w:sz w:val="24"/>
          <w:szCs w:val="24"/>
          <w:highlight w:val="none"/>
          <w:lang w:eastAsia="zh-CN"/>
        </w:rPr>
        <w:t>，</w:t>
      </w:r>
      <w:r>
        <w:rPr>
          <w:rFonts w:hint="eastAsia" w:ascii="Times New Roman" w:hAnsi="Times New Roman" w:eastAsia="宋体" w:cs="仿宋"/>
          <w:sz w:val="24"/>
          <w:szCs w:val="24"/>
        </w:rPr>
        <w:t>各残疾儿童可在</w:t>
      </w:r>
      <w:r>
        <w:rPr>
          <w:rFonts w:hint="eastAsia" w:ascii="Times New Roman" w:hAnsi="Times New Roman" w:eastAsia="宋体" w:cs="仿宋"/>
          <w:sz w:val="24"/>
          <w:szCs w:val="24"/>
          <w:lang w:val="en-US" w:eastAsia="zh-CN"/>
        </w:rPr>
        <w:t>沭阳</w:t>
      </w:r>
      <w:r>
        <w:rPr>
          <w:rFonts w:hint="eastAsia" w:ascii="Times New Roman" w:hAnsi="Times New Roman" w:eastAsia="宋体" w:cs="仿宋"/>
          <w:sz w:val="24"/>
          <w:szCs w:val="24"/>
        </w:rPr>
        <w:t>县残疾人联合会招标</w:t>
      </w:r>
      <w:r>
        <w:rPr>
          <w:rFonts w:hint="eastAsia" w:ascii="Times New Roman" w:hAnsi="Times New Roman" w:eastAsia="宋体" w:cs="仿宋"/>
          <w:color w:val="000000"/>
          <w:sz w:val="24"/>
          <w:szCs w:val="24"/>
          <w:highlight w:val="none"/>
        </w:rPr>
        <w:t>选定</w:t>
      </w:r>
      <w:r>
        <w:rPr>
          <w:rFonts w:hint="eastAsia" w:ascii="Times New Roman" w:hAnsi="Times New Roman" w:eastAsia="宋体" w:cs="仿宋"/>
          <w:color w:val="000000"/>
          <w:sz w:val="24"/>
          <w:szCs w:val="24"/>
          <w:highlight w:val="none"/>
          <w:lang w:val="en-US" w:eastAsia="zh-CN"/>
        </w:rPr>
        <w:t>的沭阳</w:t>
      </w:r>
      <w:r>
        <w:rPr>
          <w:rFonts w:hint="eastAsia" w:ascii="Times New Roman" w:hAnsi="Times New Roman" w:eastAsia="宋体" w:cs="仿宋"/>
          <w:color w:val="000000"/>
          <w:sz w:val="24"/>
          <w:szCs w:val="24"/>
          <w:highlight w:val="none"/>
        </w:rPr>
        <w:t>县残疾儿童定点康复服务机构中自主选择相应类别的定点机构进行康复训练</w:t>
      </w:r>
      <w:r>
        <w:rPr>
          <w:rFonts w:hint="eastAsia" w:ascii="Times New Roman" w:hAnsi="Times New Roman" w:eastAsia="宋体" w:cs="仿宋"/>
          <w:sz w:val="24"/>
          <w:szCs w:val="24"/>
        </w:rPr>
        <w:t>。</w:t>
      </w:r>
      <w:r>
        <w:rPr>
          <w:rFonts w:hint="eastAsia" w:ascii="Times New Roman" w:hAnsi="Times New Roman" w:eastAsia="宋体" w:cs="仿宋"/>
          <w:color w:val="000000"/>
          <w:sz w:val="24"/>
          <w:szCs w:val="24"/>
          <w:highlight w:val="none"/>
        </w:rPr>
        <w:t>具体内容以招标文件为准</w:t>
      </w:r>
      <w:r>
        <w:rPr>
          <w:rFonts w:hint="eastAsia" w:ascii="Times New Roman" w:hAnsi="Times New Roman" w:eastAsia="宋体" w:cs="仿宋"/>
          <w:sz w:val="24"/>
          <w:szCs w:val="24"/>
        </w:rPr>
        <w:t>（本项目以实际发生的服务进行结算）</w:t>
      </w:r>
      <w:r>
        <w:rPr>
          <w:rFonts w:hint="eastAsia" w:ascii="Times New Roman" w:hAnsi="Times New Roman" w:eastAsia="宋体" w:cs="仿宋"/>
          <w:sz w:val="24"/>
          <w:szCs w:val="24"/>
          <w:lang w:eastAsia="zh-CN"/>
        </w:rPr>
        <w:t>。</w:t>
      </w:r>
    </w:p>
    <w:p w14:paraId="5D135647">
      <w:pPr>
        <w:keepNext w:val="0"/>
        <w:keepLines w:val="0"/>
        <w:pageBreakBefore w:val="0"/>
        <w:widowControl w:val="0"/>
        <w:spacing w:line="340" w:lineRule="exact"/>
        <w:ind w:firstLine="480"/>
        <w:rPr>
          <w:rFonts w:hint="eastAsia" w:ascii="Times New Roman" w:hAnsi="Times New Roman" w:eastAsia="宋体" w:cs="仿宋"/>
          <w:color w:val="000000"/>
          <w:sz w:val="24"/>
          <w:szCs w:val="24"/>
          <w:lang w:eastAsia="zh-CN"/>
        </w:rPr>
      </w:pPr>
      <w:r>
        <w:rPr>
          <w:rFonts w:hint="eastAsia" w:ascii="宋体" w:hAnsi="宋体" w:eastAsia="宋体" w:cs="宋体"/>
          <w:sz w:val="24"/>
          <w:szCs w:val="24"/>
        </w:rPr>
        <w:t>3、</w:t>
      </w:r>
      <w:r>
        <w:rPr>
          <w:rFonts w:hint="eastAsia" w:ascii="宋体" w:hAnsi="宋体" w:eastAsia="宋体" w:cs="宋体"/>
          <w:sz w:val="24"/>
          <w:szCs w:val="24"/>
          <w:lang w:val="en-US" w:eastAsia="zh-CN"/>
        </w:rPr>
        <w:t>服务</w:t>
      </w:r>
      <w:r>
        <w:rPr>
          <w:rFonts w:hint="eastAsia" w:ascii="宋体" w:hAnsi="宋体" w:eastAsia="宋体" w:cs="宋体"/>
          <w:sz w:val="24"/>
          <w:szCs w:val="24"/>
        </w:rPr>
        <w:t>期</w:t>
      </w:r>
      <w:r>
        <w:rPr>
          <w:rFonts w:hint="eastAsia" w:ascii="宋体" w:hAnsi="宋体" w:eastAsia="宋体" w:cs="宋体"/>
          <w:color w:val="000000"/>
          <w:sz w:val="24"/>
          <w:szCs w:val="24"/>
        </w:rPr>
        <w:t>：</w:t>
      </w:r>
      <w:r>
        <w:rPr>
          <w:rFonts w:hint="eastAsia" w:ascii="Times New Roman" w:hAnsi="Times New Roman" w:eastAsia="宋体" w:cs="仿宋"/>
          <w:sz w:val="24"/>
          <w:szCs w:val="24"/>
        </w:rPr>
        <w:t>自合同签订之日起3年</w:t>
      </w:r>
      <w:r>
        <w:rPr>
          <w:rFonts w:hint="eastAsia" w:ascii="Times New Roman" w:hAnsi="Times New Roman" w:eastAsia="宋体" w:cs="仿宋"/>
          <w:color w:val="000000"/>
          <w:sz w:val="24"/>
          <w:szCs w:val="24"/>
          <w:lang w:eastAsia="zh-CN"/>
        </w:rPr>
        <w:t>（</w:t>
      </w:r>
      <w:r>
        <w:rPr>
          <w:rFonts w:hint="eastAsia" w:ascii="Times New Roman" w:hAnsi="Times New Roman" w:eastAsia="宋体" w:cs="仿宋"/>
          <w:color w:val="000000"/>
          <w:sz w:val="24"/>
          <w:szCs w:val="24"/>
          <w:lang w:val="en-US" w:eastAsia="zh-CN"/>
        </w:rPr>
        <w:t>合同一年一签</w:t>
      </w:r>
      <w:r>
        <w:rPr>
          <w:rFonts w:hint="eastAsia" w:ascii="Times New Roman" w:hAnsi="Times New Roman" w:eastAsia="宋体" w:cs="仿宋"/>
          <w:color w:val="000000"/>
          <w:sz w:val="24"/>
          <w:szCs w:val="24"/>
          <w:lang w:eastAsia="zh-CN"/>
        </w:rPr>
        <w:t>）。</w:t>
      </w:r>
    </w:p>
    <w:p w14:paraId="32AD05F4">
      <w:pPr>
        <w:keepNext w:val="0"/>
        <w:keepLines w:val="0"/>
        <w:pageBreakBefore w:val="0"/>
        <w:widowControl w:val="0"/>
        <w:spacing w:line="340" w:lineRule="exact"/>
        <w:ind w:firstLine="482"/>
        <w:rPr>
          <w:rFonts w:ascii="Times New Roman" w:hAnsi="Times New Roman" w:eastAsia="宋体" w:cs="仿宋"/>
          <w:sz w:val="24"/>
        </w:rPr>
      </w:pPr>
      <w:r>
        <w:rPr>
          <w:rFonts w:hint="eastAsia" w:ascii="宋体" w:hAnsi="宋体" w:eastAsia="宋体" w:cs="宋体"/>
          <w:b w:val="0"/>
          <w:bCs w:val="0"/>
          <w:sz w:val="24"/>
          <w:szCs w:val="24"/>
          <w:highlight w:val="none"/>
          <w:lang w:val="en-US" w:eastAsia="zh-CN"/>
        </w:rPr>
        <w:t>4、</w:t>
      </w:r>
      <w:r>
        <w:rPr>
          <w:rFonts w:hint="eastAsia" w:ascii="Times New Roman" w:hAnsi="Times New Roman" w:eastAsia="宋体" w:cs="仿宋"/>
          <w:b/>
          <w:sz w:val="24"/>
        </w:rPr>
        <w:t>费用标准、结算与付款方式：</w:t>
      </w:r>
    </w:p>
    <w:p w14:paraId="5ACB2C42">
      <w:pPr>
        <w:keepNext w:val="0"/>
        <w:keepLines w:val="0"/>
        <w:pageBreakBefore w:val="0"/>
        <w:widowControl w:val="0"/>
        <w:spacing w:line="34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lang w:eastAsia="zh-CN"/>
        </w:rPr>
        <w:t>（</w:t>
      </w:r>
      <w:r>
        <w:rPr>
          <w:rFonts w:hint="eastAsia" w:ascii="Times New Roman" w:hAnsi="Times New Roman" w:eastAsia="宋体" w:cs="仿宋"/>
          <w:sz w:val="24"/>
          <w:lang w:val="en-US" w:eastAsia="zh-CN"/>
        </w:rPr>
        <w:t>1</w:t>
      </w:r>
      <w:r>
        <w:rPr>
          <w:rFonts w:hint="eastAsia" w:ascii="Times New Roman" w:hAnsi="Times New Roman" w:eastAsia="宋体" w:cs="仿宋"/>
          <w:sz w:val="24"/>
          <w:lang w:eastAsia="zh-CN"/>
        </w:rPr>
        <w:t>）</w:t>
      </w:r>
      <w:r>
        <w:rPr>
          <w:rFonts w:hint="eastAsia" w:ascii="Times New Roman" w:hAnsi="Times New Roman" w:eastAsia="宋体" w:cs="仿宋"/>
          <w:sz w:val="24"/>
        </w:rPr>
        <w:t>费用标准：</w:t>
      </w:r>
    </w:p>
    <w:p w14:paraId="114F0732">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eastAsia="zh-CN"/>
        </w:rPr>
        <w:t>听力言语</w:t>
      </w:r>
      <w:r>
        <w:rPr>
          <w:rFonts w:hint="eastAsia" w:ascii="Times New Roman" w:hAnsi="Times New Roman" w:eastAsia="宋体" w:cs="仿宋"/>
          <w:color w:val="000000"/>
          <w:sz w:val="24"/>
        </w:rPr>
        <w:t>康复服务，0-6周岁残疾儿童、0-1</w:t>
      </w:r>
      <w:r>
        <w:rPr>
          <w:rFonts w:hint="eastAsia" w:ascii="Times New Roman" w:hAnsi="Times New Roman" w:eastAsia="宋体" w:cs="仿宋"/>
          <w:color w:val="000000"/>
          <w:sz w:val="24"/>
          <w:lang w:val="en-US" w:eastAsia="zh-CN"/>
        </w:rPr>
        <w:t>4</w:t>
      </w:r>
      <w:r>
        <w:rPr>
          <w:rFonts w:hint="eastAsia" w:ascii="Times New Roman" w:hAnsi="Times New Roman" w:eastAsia="宋体" w:cs="仿宋"/>
          <w:color w:val="000000"/>
          <w:sz w:val="24"/>
        </w:rPr>
        <w:t>周岁人工耳蜗植入手术后康复训练儿童，</w:t>
      </w:r>
      <w:r>
        <w:rPr>
          <w:rFonts w:hint="eastAsia" w:ascii="Times New Roman" w:hAnsi="Times New Roman" w:eastAsia="宋体" w:cs="仿宋"/>
          <w:color w:val="000000"/>
          <w:sz w:val="24"/>
          <w:lang w:val="en-US" w:eastAsia="zh-CN"/>
        </w:rPr>
        <w:t>1.6万</w:t>
      </w:r>
      <w:r>
        <w:rPr>
          <w:rFonts w:hint="eastAsia" w:ascii="Times New Roman" w:hAnsi="Times New Roman" w:eastAsia="宋体" w:cs="仿宋"/>
          <w:color w:val="000000"/>
          <w:sz w:val="24"/>
        </w:rPr>
        <w:t>元/人/年，1年按满额服务9个月计。</w:t>
      </w:r>
    </w:p>
    <w:p w14:paraId="5667C7AB">
      <w:pPr>
        <w:keepNext w:val="0"/>
        <w:keepLines w:val="0"/>
        <w:pageBreakBefore w:val="0"/>
        <w:widowControl w:val="0"/>
        <w:spacing w:line="340" w:lineRule="exact"/>
        <w:ind w:firstLine="480"/>
        <w:rPr>
          <w:rFonts w:hint="eastAsia" w:ascii="Times New Roman" w:hAnsi="Times New Roman" w:eastAsia="宋体" w:cs="仿宋"/>
          <w:color w:val="FF0000"/>
          <w:sz w:val="24"/>
          <w:szCs w:val="24"/>
        </w:rPr>
      </w:pPr>
      <w:r>
        <w:rPr>
          <w:rFonts w:hint="eastAsia" w:ascii="Times New Roman" w:hAnsi="Times New Roman" w:eastAsia="宋体" w:cs="仿宋"/>
          <w:color w:val="000000"/>
          <w:sz w:val="24"/>
        </w:rPr>
        <w:t>注：非全日制残疾儿童康复救助经费标准按照康复类别全日制救助标准的90%，结算年度康复救助经费。</w:t>
      </w:r>
    </w:p>
    <w:p w14:paraId="52AB29B4">
      <w:pPr>
        <w:keepNext w:val="0"/>
        <w:keepLines w:val="0"/>
        <w:pageBreakBefore w:val="0"/>
        <w:widowControl w:val="0"/>
        <w:spacing w:line="340" w:lineRule="exact"/>
        <w:ind w:firstLine="480"/>
        <w:rPr>
          <w:rFonts w:hint="default" w:ascii="Times New Roman" w:hAnsi="Times New Roman" w:eastAsia="宋体" w:cs="仿宋"/>
          <w:b/>
          <w:bCs/>
          <w:color w:val="FF0000"/>
          <w:sz w:val="24"/>
          <w:lang w:val="en-US" w:eastAsia="zh-CN"/>
        </w:rPr>
      </w:pPr>
      <w:r>
        <w:rPr>
          <w:rFonts w:hint="eastAsia" w:ascii="Times New Roman" w:hAnsi="Times New Roman" w:eastAsia="宋体" w:cs="仿宋"/>
          <w:b/>
          <w:bCs/>
          <w:color w:val="FF0000"/>
          <w:sz w:val="24"/>
          <w:lang w:eastAsia="zh-CN"/>
        </w:rPr>
        <w:t>（本项目执行类别补助标准，不议价，在投标文件制作时，只需要单价报价，在单一来源报价表中“单价”统一填入1.6万元。本项目以实际发生的服务进行结算。）</w:t>
      </w:r>
    </w:p>
    <w:p w14:paraId="3A653C31">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（2）结算：</w:t>
      </w:r>
    </w:p>
    <w:p w14:paraId="4A9B221D">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听力言语康复服务结算价=1.6万元/人/年*实际提供康复服务时间【实际提供康复服务月（日）】；注：前述月（日）须折算成对应的固定单价中的月，此处1年按满额服务9个月计。</w:t>
      </w:r>
    </w:p>
    <w:p w14:paraId="49AD175C">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注：非全日制残疾儿童康复救助经费标准按照康复类别全日制救助标准的90%，结算年度康复救助经费。本项目以实际发生的服务进行结算。</w:t>
      </w:r>
    </w:p>
    <w:p w14:paraId="0DD0E07E">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转介到异地（含市外）的受助儿童康复服务经费结算，原则上按户籍地救助标准执行，户籍地救助标准高于服务承接地标准时，按服务承接地救助标准执行。</w:t>
      </w:r>
    </w:p>
    <w:p w14:paraId="58914184">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w:t>
      </w:r>
      <w:r>
        <w:rPr>
          <w:rFonts w:hint="eastAsia" w:ascii="Times New Roman" w:hAnsi="Times New Roman" w:eastAsia="宋体" w:cs="仿宋"/>
          <w:color w:val="000000"/>
          <w:sz w:val="24"/>
          <w:lang w:val="en-US" w:eastAsia="zh-CN"/>
        </w:rPr>
        <w:t>3</w:t>
      </w:r>
      <w:r>
        <w:rPr>
          <w:rFonts w:hint="eastAsia" w:ascii="Times New Roman" w:hAnsi="Times New Roman" w:eastAsia="宋体" w:cs="仿宋"/>
          <w:color w:val="000000"/>
          <w:sz w:val="24"/>
        </w:rPr>
        <w:t>）付款方式：</w:t>
      </w:r>
    </w:p>
    <w:p w14:paraId="4404C3C1">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预付款：</w:t>
      </w:r>
      <w:r>
        <w:rPr>
          <w:rFonts w:hint="eastAsia" w:ascii="Times New Roman" w:hAnsi="Times New Roman" w:eastAsia="宋体" w:cs="仿宋"/>
          <w:color w:val="000000"/>
          <w:sz w:val="24"/>
          <w:lang w:val="en-US" w:eastAsia="zh-CN"/>
        </w:rPr>
        <w:t>合同签订且收到供应商发票后15个工作日内预付合同总价款的10%</w:t>
      </w:r>
      <w:r>
        <w:rPr>
          <w:rFonts w:hint="eastAsia" w:ascii="Times New Roman" w:hAnsi="Times New Roman" w:eastAsia="宋体" w:cs="仿宋"/>
          <w:color w:val="000000"/>
          <w:sz w:val="24"/>
        </w:rPr>
        <w:t xml:space="preserve">； </w:t>
      </w:r>
    </w:p>
    <w:p w14:paraId="6D37F409">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5</w:t>
      </w:r>
      <w:r>
        <w:rPr>
          <w:rFonts w:hint="eastAsia" w:ascii="Times New Roman" w:hAnsi="Times New Roman" w:eastAsia="宋体" w:cs="仿宋"/>
          <w:color w:val="000000"/>
          <w:sz w:val="24"/>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649B5C91">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rPr>
        <w:t>（注：在签订合同时，中标人明确表示无需预付款或者主动要求降低预付款比例的金额，采购人可不适用预付款规定。）</w:t>
      </w:r>
    </w:p>
    <w:p w14:paraId="74E2EFE0">
      <w:pPr>
        <w:keepNext w:val="0"/>
        <w:keepLines w:val="0"/>
        <w:pageBreakBefore w:val="0"/>
        <w:widowControl w:val="0"/>
        <w:spacing w:line="340" w:lineRule="exact"/>
        <w:ind w:firstLine="480"/>
        <w:rPr>
          <w:rFonts w:hint="eastAsia" w:ascii="宋体" w:hAnsi="宋体" w:eastAsia="宋体" w:cs="宋体"/>
          <w:color w:val="000000"/>
          <w:sz w:val="24"/>
          <w:szCs w:val="24"/>
        </w:rPr>
      </w:pPr>
    </w:p>
    <w:p w14:paraId="0CAFF04C">
      <w:pPr>
        <w:keepNext w:val="0"/>
        <w:keepLines w:val="0"/>
        <w:pageBreakBefore w:val="0"/>
        <w:widowControl w:val="0"/>
        <w:spacing w:line="340" w:lineRule="exact"/>
        <w:ind w:firstLine="482"/>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二、服务对象</w:t>
      </w:r>
    </w:p>
    <w:p w14:paraId="7C66D115">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sz w:val="24"/>
        </w:rPr>
        <w:t>1、</w:t>
      </w:r>
      <w:r>
        <w:rPr>
          <w:rFonts w:hint="eastAsia" w:ascii="Times New Roman" w:hAnsi="Times New Roman" w:eastAsia="宋体" w:cs="仿宋"/>
          <w:b/>
          <w:sz w:val="24"/>
        </w:rPr>
        <w:t>基本康复服务对象</w:t>
      </w:r>
      <w:r>
        <w:rPr>
          <w:rFonts w:hint="eastAsia" w:ascii="Times New Roman" w:hAnsi="Times New Roman" w:eastAsia="宋体" w:cs="仿宋"/>
          <w:sz w:val="24"/>
        </w:rPr>
        <w:t>，是指具有</w:t>
      </w:r>
      <w:r>
        <w:rPr>
          <w:rFonts w:hint="eastAsia" w:ascii="Times New Roman" w:hAnsi="Times New Roman" w:eastAsia="宋体" w:cs="仿宋"/>
          <w:sz w:val="24"/>
          <w:lang w:eastAsia="zh-CN"/>
        </w:rPr>
        <w:t>沭阳</w:t>
      </w:r>
      <w:r>
        <w:rPr>
          <w:rFonts w:hint="eastAsia" w:ascii="Times New Roman" w:hAnsi="Times New Roman" w:eastAsia="宋体" w:cs="仿宋"/>
          <w:sz w:val="24"/>
        </w:rPr>
        <w:t>县户籍，有康复需求和康复意愿，经国内三级医院、县级以上残联和卫健部门指定的残疾评定机构或残疾评定专家组诊断评估有康复训练适应指征的</w:t>
      </w:r>
      <w:r>
        <w:rPr>
          <w:rFonts w:hint="eastAsia" w:ascii="Times New Roman" w:hAnsi="Times New Roman" w:eastAsia="宋体" w:cs="仿宋"/>
          <w:color w:val="000000"/>
          <w:sz w:val="24"/>
          <w:lang w:val="en-US" w:eastAsia="zh-CN"/>
        </w:rPr>
        <w:t>0-6周岁听力言语残疾儿童、0-14周岁人工耳蜗植入手术后康复训练儿童。</w:t>
      </w:r>
    </w:p>
    <w:p w14:paraId="38D68EA1">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经国内三级医院相应科室副主任医师以上职称的医师诊断为听力言语发育功能障碍。</w:t>
      </w:r>
      <w:r>
        <w:rPr>
          <w:rFonts w:hint="eastAsia" w:ascii="Times New Roman" w:hAnsi="Times New Roman" w:eastAsia="宋体" w:cs="仿宋"/>
          <w:color w:val="000000"/>
          <w:sz w:val="24"/>
        </w:rPr>
        <w:t>确需接受康复训练的儿童，由医院出具医学诊断证明书。医学诊断证明书须注明需要康复的类别，加盖医院诊断专用章。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首次申请康复救助的医学诊断证明书，诊断证明书自开具之日起3年内有效。</w:t>
      </w:r>
      <w:r>
        <w:rPr>
          <w:rFonts w:hint="eastAsia" w:ascii="Times New Roman" w:hAnsi="Times New Roman" w:eastAsia="宋体" w:cs="仿宋"/>
          <w:color w:val="000000"/>
          <w:sz w:val="24"/>
        </w:rPr>
        <w:t>医学诊断证明书表述模糊不清、未注明需要康复类别的，县级以上残联应组织复筛复查。</w:t>
      </w:r>
    </w:p>
    <w:p w14:paraId="08A18699">
      <w:pPr>
        <w:keepNext w:val="0"/>
        <w:keepLines w:val="0"/>
        <w:pageBreakBefore w:val="0"/>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color w:val="000000"/>
          <w:sz w:val="24"/>
        </w:rPr>
        <w:t>疑似残疾的</w:t>
      </w:r>
      <w:r>
        <w:rPr>
          <w:rFonts w:hint="eastAsia" w:ascii="Times New Roman" w:hAnsi="Times New Roman" w:eastAsia="宋体" w:cs="仿宋"/>
          <w:color w:val="000000"/>
          <w:sz w:val="24"/>
          <w:lang w:val="en-US" w:eastAsia="zh-CN"/>
        </w:rPr>
        <w:t>听力言语</w:t>
      </w:r>
      <w:r>
        <w:rPr>
          <w:rFonts w:hint="eastAsia" w:ascii="Times New Roman" w:hAnsi="Times New Roman" w:eastAsia="宋体" w:cs="仿宋"/>
          <w:color w:val="000000"/>
          <w:sz w:val="24"/>
        </w:rPr>
        <w:t>发育功能障碍</w:t>
      </w:r>
      <w:r>
        <w:rPr>
          <w:rFonts w:hint="eastAsia" w:ascii="Times New Roman" w:hAnsi="Times New Roman" w:eastAsia="宋体" w:cs="仿宋"/>
          <w:color w:val="000000"/>
          <w:sz w:val="24"/>
          <w:lang w:val="en-US" w:eastAsia="zh-CN"/>
        </w:rPr>
        <w:t>儿童</w:t>
      </w:r>
      <w:r>
        <w:rPr>
          <w:rFonts w:hint="eastAsia" w:ascii="Times New Roman" w:hAnsi="Times New Roman" w:eastAsia="宋体" w:cs="仿宋"/>
          <w:color w:val="000000"/>
          <w:sz w:val="24"/>
        </w:rPr>
        <w:t>，其监护</w:t>
      </w:r>
      <w:r>
        <w:rPr>
          <w:rFonts w:hint="eastAsia" w:ascii="Times New Roman" w:hAnsi="Times New Roman" w:eastAsia="宋体" w:cs="仿宋"/>
          <w:sz w:val="24"/>
        </w:rPr>
        <w:t>人可向户籍地县级残联申请残疾评定。符合残疾评定标准的，残疾评定表中应注明残疾类别和分级，由户籍地县级残联盖章确认。</w:t>
      </w:r>
    </w:p>
    <w:p w14:paraId="12FAEF3E">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人工耳蜗植入手术后接受康复训练的儿童，符合残疾评定标准的，鼓励监护人为残疾儿童申领残疾人证。</w:t>
      </w:r>
    </w:p>
    <w:p w14:paraId="7673321C">
      <w:pPr>
        <w:keepNext w:val="0"/>
        <w:keepLines w:val="0"/>
        <w:pageBreakBefore w:val="0"/>
        <w:widowControl w:val="0"/>
        <w:spacing w:line="340" w:lineRule="exact"/>
        <w:ind w:firstLine="482"/>
        <w:rPr>
          <w:rFonts w:hint="eastAsia" w:ascii="Times New Roman" w:hAnsi="Times New Roman" w:eastAsia="宋体" w:cs="仿宋"/>
          <w:color w:val="000000"/>
          <w:sz w:val="24"/>
        </w:rPr>
      </w:pPr>
      <w:r>
        <w:rPr>
          <w:rFonts w:hint="eastAsia" w:ascii="Times New Roman" w:hAnsi="Times New Roman" w:eastAsia="宋体" w:cs="仿宋"/>
          <w:color w:val="000000"/>
          <w:sz w:val="24"/>
        </w:rPr>
        <w:t>2、申请康复救助需提供残疾儿童户籍证明</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身份证</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资料、医学诊断证明书</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残疾评定表、残疾人证</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w:t>
      </w:r>
    </w:p>
    <w:p w14:paraId="670E9671">
      <w:pPr>
        <w:keepNext w:val="0"/>
        <w:keepLines w:val="0"/>
        <w:pageBreakBefore w:val="0"/>
        <w:widowControl w:val="0"/>
        <w:spacing w:line="340" w:lineRule="exact"/>
        <w:ind w:firstLine="482"/>
        <w:rPr>
          <w:rFonts w:ascii="Times New Roman" w:hAnsi="Times New Roman" w:eastAsia="宋体" w:cs="仿宋"/>
          <w:b/>
          <w:color w:val="000000"/>
          <w:sz w:val="24"/>
        </w:rPr>
      </w:pPr>
      <w:r>
        <w:rPr>
          <w:rFonts w:hint="eastAsia" w:ascii="Times New Roman" w:hAnsi="Times New Roman" w:eastAsia="宋体" w:cs="仿宋"/>
          <w:color w:val="000000"/>
          <w:sz w:val="24"/>
          <w:lang w:val="en-US" w:eastAsia="zh-CN"/>
        </w:rPr>
        <w:t>3、</w:t>
      </w:r>
      <w:r>
        <w:rPr>
          <w:rFonts w:hint="eastAsia" w:ascii="Times New Roman" w:hAnsi="Times New Roman" w:eastAsia="宋体" w:cs="仿宋"/>
          <w:color w:val="000000"/>
          <w:sz w:val="24"/>
        </w:rPr>
        <w:t>县级残联应与当地教育部门建立信息共享机制，及时通报达到义务教育入学年龄仍在机构接受康复服务的儿童信息。</w:t>
      </w:r>
    </w:p>
    <w:p w14:paraId="7D52BBAB">
      <w:pPr>
        <w:keepNext w:val="0"/>
        <w:keepLines w:val="0"/>
        <w:pageBreakBefore w:val="0"/>
        <w:widowControl w:val="0"/>
        <w:spacing w:line="340" w:lineRule="exact"/>
        <w:ind w:firstLine="482"/>
        <w:rPr>
          <w:rFonts w:hint="eastAsia" w:ascii="宋体" w:hAnsi="宋体" w:eastAsia="宋体" w:cs="Times New Roman"/>
          <w:b/>
          <w:color w:val="000000"/>
          <w:sz w:val="24"/>
          <w:szCs w:val="24"/>
          <w:highlight w:val="none"/>
          <w:lang w:val="en-US" w:eastAsia="zh-CN"/>
        </w:rPr>
      </w:pPr>
    </w:p>
    <w:p w14:paraId="6503019A">
      <w:pPr>
        <w:keepNext w:val="0"/>
        <w:keepLines w:val="0"/>
        <w:pageBreakBefore w:val="0"/>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三、服务目标与内容</w:t>
      </w:r>
    </w:p>
    <w:p w14:paraId="214F1FFA">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1、服务目标与标准：本项目基本康复服务着眼改善和提高</w:t>
      </w:r>
      <w:r>
        <w:rPr>
          <w:rFonts w:hint="eastAsia" w:ascii="Times New Roman" w:hAnsi="Times New Roman" w:eastAsia="宋体" w:cs="仿宋"/>
          <w:sz w:val="24"/>
          <w:lang w:val="en-US" w:eastAsia="zh-CN"/>
        </w:rPr>
        <w:t>听力</w:t>
      </w:r>
      <w:r>
        <w:rPr>
          <w:rFonts w:hint="eastAsia" w:ascii="Times New Roman" w:hAnsi="Times New Roman" w:eastAsia="宋体" w:cs="仿宋"/>
          <w:sz w:val="24"/>
        </w:rPr>
        <w:t>残疾儿童感知、运动、认知、言语沟通、情绪管理、生活自理、社会交往等能力。</w:t>
      </w:r>
    </w:p>
    <w:p w14:paraId="6814FC8E">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2、</w:t>
      </w:r>
      <w:r>
        <w:rPr>
          <w:rFonts w:hint="eastAsia" w:ascii="Times New Roman" w:hAnsi="Times New Roman" w:eastAsia="宋体" w:cs="仿宋"/>
          <w:b/>
          <w:sz w:val="24"/>
        </w:rPr>
        <w:t>服务项目内容与范围：</w:t>
      </w:r>
      <w:r>
        <w:rPr>
          <w:rFonts w:hint="eastAsia" w:ascii="Times New Roman" w:hAnsi="Times New Roman" w:eastAsia="宋体" w:cs="仿宋"/>
          <w:sz w:val="24"/>
        </w:rPr>
        <w:t>按照《江苏省残疾人基本康复服务目录》提供与年龄和残疾类别相适应的康复训练、康复医疗、辅助器具适配和支持性服务，并向残疾儿童及其家庭提供康复评估、康复咨询、康复指导和康复宣传服务。</w:t>
      </w:r>
    </w:p>
    <w:p w14:paraId="68A88393">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3、</w:t>
      </w:r>
      <w:r>
        <w:rPr>
          <w:rFonts w:hint="eastAsia" w:ascii="Times New Roman" w:hAnsi="Times New Roman" w:eastAsia="宋体" w:cs="仿宋"/>
          <w:b/>
          <w:sz w:val="24"/>
        </w:rPr>
        <w:t>服务时间安排：</w:t>
      </w:r>
    </w:p>
    <w:p w14:paraId="0E8F4AC7">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（1）为保证康复效果连续有效，政府购买的残疾儿童基本康复服务应在机构内进行，年度基本康复时间不少于9个月。执行与教育部门同步学期规定的公办机构（特教学校）可延至次年1月31日。</w:t>
      </w:r>
    </w:p>
    <w:p w14:paraId="6F0E0D86">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sz w:val="24"/>
        </w:rPr>
        <w:t>（2）</w:t>
      </w:r>
      <w:r>
        <w:rPr>
          <w:rFonts w:hint="eastAsia" w:ascii="Times New Roman" w:hAnsi="Times New Roman" w:eastAsia="宋体" w:cs="仿宋"/>
          <w:sz w:val="24"/>
          <w:lang w:val="en-US" w:eastAsia="zh-CN"/>
        </w:rPr>
        <w:t>听力</w:t>
      </w:r>
      <w:r>
        <w:rPr>
          <w:rFonts w:hint="eastAsia" w:ascii="Times New Roman" w:hAnsi="Times New Roman" w:eastAsia="宋体" w:cs="仿宋"/>
          <w:sz w:val="24"/>
        </w:rPr>
        <w:t>儿童基本康复服务形式分全日制和非全日制两种类型，残疾儿童监护人可自主选择服务类型。</w:t>
      </w:r>
    </w:p>
    <w:p w14:paraId="11BE96CD">
      <w:pPr>
        <w:keepNext w:val="0"/>
        <w:keepLines w:val="0"/>
        <w:pageBreakBefore w:val="0"/>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highlight w:val="none"/>
        </w:rPr>
        <w:t>全日制是指残疾儿童在定点机构内同步接受康复服务和学前（学科）教育。在当月法定工作（学习）日，接受每天</w:t>
      </w:r>
      <w:r>
        <w:rPr>
          <w:rFonts w:hint="eastAsia" w:ascii="Times New Roman" w:hAnsi="Times New Roman" w:eastAsia="宋体" w:cs="仿宋"/>
          <w:sz w:val="24"/>
        </w:rPr>
        <w:t>4小时的基本康复服务，课程设置应符合</w:t>
      </w:r>
    </w:p>
    <w:p w14:paraId="2AF7D9CB">
      <w:pPr>
        <w:keepNext w:val="0"/>
        <w:keepLines w:val="0"/>
        <w:pageBreakBefore w:val="0"/>
        <w:widowControl w:val="0"/>
        <w:spacing w:line="340" w:lineRule="exact"/>
        <w:rPr>
          <w:rFonts w:ascii="Times New Roman" w:hAnsi="Times New Roman" w:eastAsia="宋体" w:cs="仿宋"/>
          <w:sz w:val="24"/>
        </w:rPr>
      </w:pPr>
      <w:r>
        <w:rPr>
          <w:rFonts w:hint="eastAsia" w:ascii="Times New Roman" w:hAnsi="Times New Roman" w:eastAsia="宋体" w:cs="仿宋"/>
          <w:sz w:val="24"/>
        </w:rPr>
        <w:t>残疾儿童个性特征，其中个性化服务支持每天不少于1节课40分钟。</w:t>
      </w:r>
    </w:p>
    <w:p w14:paraId="328860E7">
      <w:pPr>
        <w:keepNext w:val="0"/>
        <w:keepLines w:val="0"/>
        <w:pageBreakBefore w:val="0"/>
        <w:widowControl w:val="0"/>
        <w:spacing w:line="340" w:lineRule="exact"/>
        <w:ind w:firstLine="482"/>
        <w:rPr>
          <w:rFonts w:hint="eastAsia" w:ascii="Times New Roman" w:hAnsi="Times New Roman" w:eastAsia="宋体" w:cs="仿宋"/>
          <w:color w:val="00B0F0"/>
          <w:sz w:val="24"/>
        </w:rPr>
      </w:pPr>
      <w:r>
        <w:rPr>
          <w:rFonts w:hint="eastAsia" w:ascii="Times New Roman" w:hAnsi="Times New Roman" w:eastAsia="宋体" w:cs="仿宋"/>
          <w:sz w:val="24"/>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sz w:val="24"/>
          <w:lang w:val="en-US" w:eastAsia="zh-CN"/>
        </w:rPr>
        <w:t>不少于</w:t>
      </w:r>
      <w:r>
        <w:rPr>
          <w:rFonts w:hint="eastAsia" w:ascii="Times New Roman" w:hAnsi="Times New Roman" w:eastAsia="宋体" w:cs="仿宋"/>
          <w:sz w:val="24"/>
        </w:rPr>
        <w:t>20天</w:t>
      </w:r>
      <w:r>
        <w:rPr>
          <w:rFonts w:hint="eastAsia" w:ascii="Times New Roman" w:hAnsi="Times New Roman" w:eastAsia="宋体" w:cs="仿宋"/>
          <w:sz w:val="24"/>
          <w:lang w:val="en-US" w:eastAsia="zh-CN"/>
        </w:rPr>
        <w:t>，</w:t>
      </w:r>
      <w:r>
        <w:rPr>
          <w:rFonts w:hint="eastAsia" w:ascii="Times New Roman" w:hAnsi="Times New Roman" w:eastAsia="宋体" w:cs="仿宋"/>
          <w:sz w:val="24"/>
        </w:rPr>
        <w:t>每天不少于1.5小时，其中个性化服务支持不少于1小时</w:t>
      </w:r>
      <w:r>
        <w:rPr>
          <w:rFonts w:hint="eastAsia" w:ascii="Times New Roman" w:hAnsi="Times New Roman" w:eastAsia="宋体" w:cs="仿宋"/>
          <w:color w:val="00B0F0"/>
          <w:sz w:val="24"/>
        </w:rPr>
        <w:t>。</w:t>
      </w:r>
    </w:p>
    <w:p w14:paraId="6F271460">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听力言语残疾儿童辅助器具适配服务、听力残疾儿童人工耳蜗植入手术按照相关规定执行。</w:t>
      </w:r>
    </w:p>
    <w:p w14:paraId="5845EBC6">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（3）残疾儿童自申请之日起一个年度康复服务周期内，只享受一种残疾类别的康复救助，多类别康复救助经费不叠加计算。</w:t>
      </w:r>
    </w:p>
    <w:p w14:paraId="280CCCAA">
      <w:pPr>
        <w:keepNext w:val="0"/>
        <w:keepLines w:val="0"/>
        <w:pageBreakBefore w:val="0"/>
        <w:widowControl w:val="0"/>
        <w:spacing w:line="340" w:lineRule="exact"/>
        <w:ind w:firstLine="482"/>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br w:type="textWrapping" w:clear="all"/>
      </w:r>
      <w:r>
        <w:rPr>
          <w:rFonts w:hint="eastAsia" w:ascii="宋体" w:hAnsi="宋体" w:eastAsia="宋体" w:cs="Times New Roman"/>
          <w:b/>
          <w:color w:val="000000"/>
          <w:sz w:val="24"/>
          <w:szCs w:val="24"/>
          <w:highlight w:val="none"/>
          <w:lang w:val="en-US" w:eastAsia="zh-CN"/>
        </w:rPr>
        <w:t xml:space="preserve">    四、服务管理与考核</w:t>
      </w:r>
    </w:p>
    <w:p w14:paraId="295B4A00">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本项目经招标确定的定点康复服务机构，须全面服从采购人（即合同签订甲方）的康复服务机构各项管理与考核安排及要求，包含但不限于如下具体内容。</w:t>
      </w:r>
    </w:p>
    <w:p w14:paraId="62F29CAA">
      <w:pPr>
        <w:keepNext w:val="0"/>
        <w:keepLines w:val="0"/>
        <w:pageBreakBefore w:val="0"/>
        <w:widowControl w:val="0"/>
        <w:spacing w:line="340" w:lineRule="exact"/>
        <w:ind w:firstLine="482"/>
        <w:rPr>
          <w:rFonts w:ascii="Times New Roman" w:hAnsi="Times New Roman" w:eastAsia="宋体" w:cs="仿宋"/>
          <w:b/>
          <w:color w:val="000000"/>
          <w:sz w:val="24"/>
        </w:rPr>
      </w:pPr>
      <w:r>
        <w:rPr>
          <w:rFonts w:hint="eastAsia" w:ascii="Times New Roman" w:hAnsi="Times New Roman" w:eastAsia="宋体" w:cs="仿宋"/>
          <w:b/>
          <w:color w:val="000000"/>
          <w:sz w:val="24"/>
        </w:rPr>
        <w:t>（一）基本硬件建设：</w:t>
      </w:r>
    </w:p>
    <w:p w14:paraId="46338413">
      <w:pPr>
        <w:keepNext w:val="0"/>
        <w:keepLines w:val="0"/>
        <w:pageBreakBefore w:val="0"/>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rPr>
        <w:t>1、建设标准</w:t>
      </w:r>
    </w:p>
    <w:p w14:paraId="38DF4A8E">
      <w:pPr>
        <w:keepNext w:val="0"/>
        <w:keepLines w:val="0"/>
        <w:pageBreakBefore w:val="0"/>
        <w:widowControl w:val="0"/>
        <w:spacing w:line="340" w:lineRule="exact"/>
        <w:ind w:firstLine="482"/>
        <w:rPr>
          <w:rFonts w:ascii="Times New Roman" w:hAnsi="Times New Roman" w:eastAsia="宋体" w:cs="仿宋"/>
          <w:b/>
          <w:bCs/>
          <w:color w:val="auto"/>
          <w:sz w:val="24"/>
          <w:u w:val="none"/>
          <w:lang w:val="en-US" w:eastAsia="zh-CN"/>
        </w:rPr>
      </w:pPr>
      <w:r>
        <w:rPr>
          <w:rFonts w:hint="eastAsia" w:ascii="Times New Roman" w:hAnsi="Times New Roman" w:eastAsia="宋体" w:cs="仿宋"/>
          <w:b w:val="0"/>
          <w:bCs w:val="0"/>
          <w:color w:val="auto"/>
          <w:sz w:val="24"/>
          <w:u w:val="none"/>
        </w:rPr>
        <w:t>★</w:t>
      </w:r>
      <w:r>
        <w:rPr>
          <w:rFonts w:hint="eastAsia" w:ascii="Times New Roman" w:hAnsi="Times New Roman" w:eastAsia="宋体" w:cs="仿宋"/>
          <w:b w:val="0"/>
          <w:bCs w:val="0"/>
          <w:color w:val="auto"/>
          <w:sz w:val="24"/>
          <w:u w:val="none"/>
          <w:lang w:val="en-US" w:eastAsia="zh-CN"/>
        </w:rPr>
        <w:t>1.1</w:t>
      </w:r>
      <w:r>
        <w:rPr>
          <w:rFonts w:hint="eastAsia" w:ascii="Times New Roman" w:hAnsi="Times New Roman" w:eastAsia="宋体" w:cs="仿宋"/>
          <w:b w:val="0"/>
          <w:bCs w:val="0"/>
          <w:color w:val="auto"/>
          <w:sz w:val="24"/>
          <w:u w:val="none"/>
        </w:rPr>
        <w:t>消防达标要求：</w:t>
      </w:r>
      <w:r>
        <w:rPr>
          <w:rFonts w:hint="eastAsia" w:ascii="Times New Roman" w:hAnsi="Times New Roman" w:eastAsia="宋体" w:cs="仿宋"/>
          <w:color w:val="auto"/>
          <w:sz w:val="24"/>
          <w:u w:val="none"/>
        </w:rPr>
        <w:t>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u w:val="none"/>
          <w:lang w:val="en-US" w:eastAsia="zh-CN"/>
        </w:rPr>
        <w:t>须提供前述相关证明资料，否则不予认可。</w:t>
      </w:r>
    </w:p>
    <w:p w14:paraId="409B8678">
      <w:pPr>
        <w:keepNext w:val="0"/>
        <w:keepLines w:val="0"/>
        <w:pageBreakBefore w:val="0"/>
        <w:widowControl w:val="0"/>
        <w:spacing w:line="340" w:lineRule="exact"/>
        <w:ind w:firstLine="482"/>
        <w:rPr>
          <w:rFonts w:ascii="Times New Roman" w:hAnsi="Times New Roman" w:eastAsia="宋体" w:cs="仿宋"/>
          <w:sz w:val="24"/>
        </w:rPr>
      </w:pPr>
      <w:r>
        <w:rPr>
          <w:rFonts w:hint="eastAsia" w:ascii="Times New Roman" w:hAnsi="Times New Roman" w:eastAsia="宋体" w:cs="仿宋"/>
          <w:b w:val="0"/>
          <w:bCs/>
          <w:sz w:val="24"/>
          <w:lang w:val="en-US" w:eastAsia="zh-CN"/>
        </w:rPr>
        <w:t>1.2</w:t>
      </w:r>
      <w:r>
        <w:rPr>
          <w:rFonts w:hint="eastAsia" w:ascii="Times New Roman" w:hAnsi="Times New Roman" w:eastAsia="宋体" w:cs="仿宋"/>
          <w:b w:val="0"/>
          <w:bCs/>
          <w:sz w:val="24"/>
        </w:rPr>
        <w:t>建设要求：</w:t>
      </w:r>
      <w:r>
        <w:rPr>
          <w:rFonts w:hint="eastAsia" w:ascii="Times New Roman" w:hAnsi="Times New Roman" w:eastAsia="宋体" w:cs="仿宋"/>
          <w:sz w:val="24"/>
        </w:rPr>
        <w:t>机构规划布局、建设规模和建设面积执行《残疾人康复机构建设标准》（建标165－2013）中关于“选址与规划布局”和“建设规模与建筑面积指标”的相关规定。</w:t>
      </w:r>
    </w:p>
    <w:p w14:paraId="0B582636">
      <w:pPr>
        <w:keepNext w:val="0"/>
        <w:keepLines w:val="0"/>
        <w:pageBreakBefore w:val="0"/>
        <w:widowControl w:val="0"/>
        <w:spacing w:line="340" w:lineRule="exact"/>
        <w:ind w:firstLine="482"/>
        <w:rPr>
          <w:rFonts w:ascii="Times New Roman" w:hAnsi="Times New Roman" w:eastAsia="宋体" w:cs="仿宋"/>
          <w:b/>
          <w:sz w:val="24"/>
        </w:rPr>
      </w:pPr>
      <w:r>
        <w:rPr>
          <w:rFonts w:hint="eastAsia" w:ascii="Times New Roman" w:hAnsi="Times New Roman" w:eastAsia="宋体" w:cs="仿宋"/>
          <w:b/>
          <w:sz w:val="24"/>
        </w:rPr>
        <w:t>★</w:t>
      </w:r>
      <w:r>
        <w:rPr>
          <w:rFonts w:hint="eastAsia" w:ascii="Times New Roman" w:hAnsi="Times New Roman" w:eastAsia="宋体" w:cs="仿宋"/>
          <w:b w:val="0"/>
          <w:bCs/>
          <w:sz w:val="24"/>
          <w:lang w:val="en-US" w:eastAsia="zh-CN"/>
        </w:rPr>
        <w:t>1.3</w:t>
      </w:r>
      <w:r>
        <w:rPr>
          <w:rFonts w:hint="eastAsia" w:ascii="Times New Roman" w:hAnsi="Times New Roman" w:eastAsia="宋体" w:cs="仿宋"/>
          <w:b w:val="0"/>
          <w:bCs/>
          <w:sz w:val="24"/>
        </w:rPr>
        <w:t>环境要求</w:t>
      </w:r>
      <w:r>
        <w:rPr>
          <w:rFonts w:hint="eastAsia" w:ascii="Times New Roman" w:hAnsi="Times New Roman" w:eastAsia="宋体" w:cs="仿宋"/>
          <w:b/>
          <w:sz w:val="24"/>
        </w:rPr>
        <w:t>：</w:t>
      </w:r>
    </w:p>
    <w:p w14:paraId="6CFCD28F">
      <w:pPr>
        <w:keepNext w:val="0"/>
        <w:keepLines w:val="0"/>
        <w:pageBreakBefore w:val="0"/>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w:t>
      </w:r>
    </w:p>
    <w:p w14:paraId="57803827">
      <w:pPr>
        <w:keepNext w:val="0"/>
        <w:keepLines w:val="0"/>
        <w:pageBreakBefore w:val="0"/>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sz w:val="24"/>
        </w:rPr>
        <w:t>生活用房应设在建筑的底层，设有独立出入口；有独立的室外活动场地。生活用房和室外场地与其他建筑部分采取隔离措施，配备防止物体坠落设施，光照充足，通风良好。</w:t>
      </w:r>
    </w:p>
    <w:p w14:paraId="3157A6AF">
      <w:pPr>
        <w:keepNext w:val="0"/>
        <w:keepLines w:val="0"/>
        <w:pageBreakBefore w:val="0"/>
        <w:widowControl w:val="0"/>
        <w:spacing w:line="340" w:lineRule="exact"/>
        <w:ind w:firstLine="482"/>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注：提供满足上述环境要求的承诺书加盖公章，格式自拟，如中标后，环境与上述要求不符视为虚假承诺，采购人将取消其中标资格并报送相关监管部门予以处罚。</w:t>
      </w:r>
    </w:p>
    <w:p w14:paraId="76457FAC">
      <w:pPr>
        <w:keepNext w:val="0"/>
        <w:keepLines w:val="0"/>
        <w:pageBreakBefore w:val="0"/>
        <w:widowControl w:val="0"/>
        <w:spacing w:line="340" w:lineRule="exact"/>
        <w:ind w:firstLine="482"/>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2、</w:t>
      </w:r>
      <w:r>
        <w:rPr>
          <w:rFonts w:hint="eastAsia" w:ascii="Times New Roman" w:hAnsi="Times New Roman" w:eastAsia="宋体" w:cs="仿宋"/>
          <w:b/>
          <w:color w:val="auto"/>
          <w:sz w:val="24"/>
          <w:u w:val="none"/>
        </w:rPr>
        <w:t>定点机构</w:t>
      </w:r>
      <w:r>
        <w:rPr>
          <w:rFonts w:hint="eastAsia" w:ascii="Times New Roman" w:hAnsi="Times New Roman" w:eastAsia="宋体" w:cs="仿宋"/>
          <w:b/>
          <w:color w:val="auto"/>
          <w:sz w:val="24"/>
          <w:u w:val="none"/>
          <w:lang w:val="en-US" w:eastAsia="zh-CN"/>
        </w:rPr>
        <w:t>内部管理</w:t>
      </w:r>
    </w:p>
    <w:p w14:paraId="61958B96">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2.2制度管理</w:t>
      </w:r>
    </w:p>
    <w:p w14:paraId="13E14955">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具备岗位职责、业务管理、人力资源管理、财务管理、突发事件应急预案、信息管理、服务项目及收费标准等信息公示，有年度自查的总结报告。</w:t>
      </w:r>
    </w:p>
    <w:p w14:paraId="616E0C4D">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2.3绩效审计</w:t>
      </w:r>
    </w:p>
    <w:p w14:paraId="21B11D55">
      <w:pPr>
        <w:keepNext w:val="0"/>
        <w:keepLines w:val="0"/>
        <w:pageBreakBefore w:val="0"/>
        <w:widowControl w:val="0"/>
        <w:spacing w:line="340" w:lineRule="exact"/>
        <w:ind w:firstLine="482"/>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接受业务主管部门财务检查和年度审计，经县级以上残联会同财政部门年度康复服务项目绩效考核合格以上。</w:t>
      </w:r>
    </w:p>
    <w:p w14:paraId="00CCAF9B">
      <w:pPr>
        <w:keepNext w:val="0"/>
        <w:keepLines w:val="0"/>
        <w:pageBreakBefore w:val="0"/>
        <w:widowControl w:val="0"/>
        <w:spacing w:line="340" w:lineRule="exact"/>
        <w:ind w:firstLine="482"/>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3、</w:t>
      </w:r>
      <w:r>
        <w:rPr>
          <w:rFonts w:hint="eastAsia" w:ascii="Times New Roman" w:hAnsi="Times New Roman" w:eastAsia="宋体" w:cs="仿宋"/>
          <w:b/>
          <w:color w:val="auto"/>
          <w:sz w:val="24"/>
          <w:u w:val="none"/>
        </w:rPr>
        <w:t>定点机构</w:t>
      </w:r>
      <w:r>
        <w:rPr>
          <w:rFonts w:hint="eastAsia" w:ascii="Times New Roman" w:hAnsi="Times New Roman" w:eastAsia="宋体" w:cs="仿宋"/>
          <w:b/>
          <w:color w:val="auto"/>
          <w:sz w:val="24"/>
          <w:u w:val="none"/>
          <w:lang w:val="en-US" w:eastAsia="zh-CN"/>
        </w:rPr>
        <w:t>设施设备</w:t>
      </w:r>
    </w:p>
    <w:p w14:paraId="503BEFBA">
      <w:pPr>
        <w:keepNext w:val="0"/>
        <w:keepLines w:val="0"/>
        <w:pageBreakBefore w:val="0"/>
        <w:widowControl w:val="0"/>
        <w:spacing w:line="340" w:lineRule="exact"/>
        <w:ind w:firstLine="482"/>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3.1训练场地</w:t>
      </w:r>
    </w:p>
    <w:p w14:paraId="7F4F95FB">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应设置测听室、个训教室、集体教室、活动室和辅助用房、室外活动场地业务用房面积不少于建筑总面积的60%。</w:t>
      </w:r>
    </w:p>
    <w:p w14:paraId="085B5ABB">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设置至少1间测听室，单室面积不少于6平方米，符合 GB/T16403 关于测听室建设标准。</w:t>
      </w:r>
    </w:p>
    <w:p w14:paraId="489C32BC">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个训教室数量与收训儿童人数按1</w:t>
      </w:r>
      <w:r>
        <w:rPr>
          <w:rFonts w:hint="eastAsia" w:ascii="Times New Roman" w:hAnsi="Times New Roman" w:eastAsia="宋体" w:cs="仿宋"/>
          <w:b w:val="0"/>
          <w:bCs/>
          <w:color w:val="auto"/>
          <w:sz w:val="24"/>
          <w:u w:val="none"/>
          <w:lang w:val="en-US" w:eastAsia="zh-CN"/>
        </w:rPr>
        <w:t>:</w:t>
      </w:r>
      <w:r>
        <w:rPr>
          <w:rFonts w:hint="eastAsia" w:ascii="Times New Roman" w:hAnsi="Times New Roman" w:eastAsia="宋体" w:cs="仿宋"/>
          <w:b w:val="0"/>
          <w:bCs/>
          <w:color w:val="auto"/>
          <w:sz w:val="24"/>
          <w:u w:val="none"/>
        </w:rPr>
        <w:t>6的比例标准设置，每间面积应不小于8平方米，室内应作吸音处理，本底噪音小于35dB(A)，混响时间小于0.4秒，配有听能检测保养包。</w:t>
      </w:r>
    </w:p>
    <w:p w14:paraId="4B1907B7">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集体教室参照《幼儿园工作规程》(2016年版)执行，同时满足听力言语康复训练需要，教室内有隔音降噪处理，信噪比大于等于15dB。</w:t>
      </w:r>
    </w:p>
    <w:p w14:paraId="1494901D">
      <w:pPr>
        <w:keepNext w:val="0"/>
        <w:keepLines w:val="0"/>
        <w:pageBreakBefore w:val="0"/>
        <w:widowControl w:val="0"/>
        <w:spacing w:line="340" w:lineRule="exact"/>
        <w:ind w:firstLine="482"/>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设置有开展学前教育教学活动的用房，建筑面积按人均3平方米标准执行，本底噪声小于45dB(A)，混响系数不大于0.6ms。有地板覆盖物，设置有观察、精细动作练习、阅读和游戏区。</w:t>
      </w:r>
    </w:p>
    <w:p w14:paraId="3C6E86A8">
      <w:pPr>
        <w:widowControl w:val="0"/>
        <w:spacing w:line="340" w:lineRule="exact"/>
        <w:ind w:firstLine="482"/>
        <w:rPr>
          <w:rFonts w:hint="default" w:ascii="Times New Roman" w:hAnsi="Times New Roman" w:eastAsia="宋体" w:cs="仿宋"/>
          <w:b/>
          <w:color w:val="auto"/>
          <w:sz w:val="24"/>
          <w:szCs w:val="22"/>
          <w:u w:val="none"/>
        </w:rPr>
      </w:pPr>
      <w:r>
        <w:rPr>
          <w:rFonts w:hint="eastAsia" w:ascii="Times New Roman" w:hAnsi="Times New Roman" w:eastAsia="宋体" w:cs="仿宋"/>
          <w:b/>
          <w:color w:val="auto"/>
          <w:sz w:val="24"/>
          <w:u w:val="none"/>
        </w:rPr>
        <w:t>注：提供满足上述</w:t>
      </w:r>
      <w:r>
        <w:rPr>
          <w:rFonts w:hint="eastAsia" w:ascii="Times New Roman" w:hAnsi="Times New Roman" w:eastAsia="宋体" w:cs="仿宋"/>
          <w:b/>
          <w:color w:val="auto"/>
          <w:sz w:val="24"/>
          <w:u w:val="none"/>
          <w:lang w:val="en-US" w:eastAsia="zh-CN"/>
        </w:rPr>
        <w:t>训练场地</w:t>
      </w:r>
      <w:r>
        <w:rPr>
          <w:rFonts w:hint="eastAsia" w:ascii="Times New Roman" w:hAnsi="Times New Roman" w:eastAsia="宋体" w:cs="仿宋"/>
          <w:b/>
          <w:color w:val="auto"/>
          <w:sz w:val="24"/>
          <w:u w:val="none"/>
        </w:rPr>
        <w:t>要求的</w:t>
      </w:r>
      <w:r>
        <w:rPr>
          <w:rFonts w:hint="eastAsia" w:ascii="Times New Roman" w:hAnsi="Times New Roman" w:cs="仿宋"/>
          <w:b/>
          <w:color w:val="auto"/>
          <w:sz w:val="24"/>
          <w:u w:val="none"/>
          <w:lang w:val="en-US" w:eastAsia="zh-CN"/>
        </w:rPr>
        <w:t>承诺书</w:t>
      </w:r>
      <w:r>
        <w:rPr>
          <w:rFonts w:hint="eastAsia" w:ascii="Times New Roman" w:hAnsi="Times New Roman" w:eastAsia="宋体" w:cs="仿宋"/>
          <w:b/>
          <w:color w:val="auto"/>
          <w:sz w:val="24"/>
          <w:u w:val="none"/>
        </w:rPr>
        <w:t>加盖公章</w:t>
      </w:r>
      <w:r>
        <w:rPr>
          <w:rFonts w:hint="eastAsia" w:ascii="Times New Roman" w:hAnsi="Times New Roman" w:cs="仿宋"/>
          <w:b/>
          <w:color w:val="auto"/>
          <w:sz w:val="24"/>
          <w:u w:val="none"/>
          <w:lang w:eastAsia="zh-CN"/>
        </w:rPr>
        <w:t>（</w:t>
      </w:r>
      <w:r>
        <w:rPr>
          <w:rFonts w:hint="eastAsia" w:ascii="Times New Roman" w:hAnsi="Times New Roman" w:eastAsia="宋体" w:cs="仿宋"/>
          <w:b/>
          <w:color w:val="auto"/>
          <w:sz w:val="24"/>
          <w:u w:val="none"/>
        </w:rPr>
        <w:t>格式自拟</w:t>
      </w:r>
      <w:r>
        <w:rPr>
          <w:rFonts w:hint="eastAsia" w:ascii="Times New Roman" w:hAnsi="Times New Roman" w:cs="仿宋"/>
          <w:b/>
          <w:color w:val="auto"/>
          <w:sz w:val="24"/>
          <w:u w:val="none"/>
          <w:lang w:eastAsia="zh-CN"/>
        </w:rPr>
        <w:t>）</w:t>
      </w:r>
      <w:r>
        <w:rPr>
          <w:rFonts w:hint="eastAsia" w:ascii="Times New Roman" w:hAnsi="Times New Roman" w:cs="仿宋"/>
          <w:b/>
          <w:color w:val="auto"/>
          <w:sz w:val="24"/>
          <w:u w:val="none"/>
          <w:lang w:val="en-US" w:eastAsia="zh-CN"/>
        </w:rPr>
        <w:t>及</w:t>
      </w:r>
      <w:r>
        <w:rPr>
          <w:rFonts w:hint="eastAsia" w:ascii="Times New Roman" w:hAnsi="Times New Roman" w:eastAsia="宋体" w:cs="仿宋"/>
          <w:b/>
          <w:color w:val="auto"/>
          <w:sz w:val="24"/>
          <w:u w:val="none"/>
        </w:rPr>
        <w:t>相关图片</w:t>
      </w:r>
      <w:r>
        <w:rPr>
          <w:rFonts w:hint="eastAsia" w:ascii="Times New Roman" w:hAnsi="Times New Roman" w:cs="仿宋"/>
          <w:b/>
          <w:color w:val="auto"/>
          <w:sz w:val="24"/>
          <w:u w:val="none"/>
          <w:lang w:val="en-US" w:eastAsia="zh-CN"/>
        </w:rPr>
        <w:t>和情况介绍</w:t>
      </w:r>
      <w:r>
        <w:rPr>
          <w:rFonts w:hint="eastAsia" w:ascii="Times New Roman" w:hAnsi="Times New Roman" w:eastAsia="宋体" w:cs="仿宋"/>
          <w:b/>
          <w:color w:val="auto"/>
          <w:sz w:val="24"/>
          <w:u w:val="none"/>
        </w:rPr>
        <w:t>，如中标后，</w:t>
      </w:r>
      <w:r>
        <w:rPr>
          <w:rFonts w:hint="eastAsia" w:ascii="Times New Roman" w:hAnsi="Times New Roman" w:eastAsia="宋体" w:cs="仿宋"/>
          <w:b/>
          <w:color w:val="auto"/>
          <w:sz w:val="24"/>
          <w:u w:val="none"/>
          <w:lang w:val="en-US" w:eastAsia="zh-CN"/>
        </w:rPr>
        <w:t>训练场地</w:t>
      </w:r>
      <w:r>
        <w:rPr>
          <w:rFonts w:hint="eastAsia" w:ascii="Times New Roman" w:hAnsi="Times New Roman" w:eastAsia="宋体" w:cs="仿宋"/>
          <w:b/>
          <w:color w:val="auto"/>
          <w:sz w:val="24"/>
          <w:u w:val="none"/>
        </w:rPr>
        <w:t>与上述要求不符视为虚假承诺，采购人将取消其中标资格并报送相关监管部门予以处罚</w:t>
      </w:r>
      <w:r>
        <w:rPr>
          <w:rFonts w:hint="eastAsia" w:ascii="Times New Roman" w:hAnsi="Times New Roman" w:eastAsia="宋体" w:cs="仿宋"/>
          <w:b/>
          <w:color w:val="auto"/>
          <w:sz w:val="24"/>
          <w:szCs w:val="22"/>
          <w:u w:val="none"/>
        </w:rPr>
        <w:t>。</w:t>
      </w:r>
    </w:p>
    <w:p w14:paraId="19EDC63B">
      <w:pPr>
        <w:keepNext w:val="0"/>
        <w:keepLines w:val="0"/>
        <w:pageBreakBefore w:val="0"/>
        <w:widowControl w:val="0"/>
        <w:spacing w:line="320" w:lineRule="exact"/>
        <w:ind w:firstLine="482"/>
        <w:rPr>
          <w:rFonts w:ascii="Times New Roman" w:hAnsi="Times New Roman" w:eastAsia="宋体" w:cs="仿宋"/>
          <w:sz w:val="24"/>
        </w:rPr>
      </w:pPr>
      <w:r>
        <w:rPr>
          <w:rFonts w:hint="eastAsia" w:ascii="Times New Roman" w:hAnsi="Times New Roman" w:eastAsia="宋体" w:cs="仿宋"/>
          <w:b/>
          <w:sz w:val="24"/>
          <w:lang w:val="en-US" w:eastAsia="zh-CN"/>
        </w:rPr>
        <w:t>3.2</w:t>
      </w:r>
      <w:r>
        <w:rPr>
          <w:rFonts w:hint="eastAsia" w:ascii="Times New Roman" w:hAnsi="Times New Roman" w:eastAsia="宋体" w:cs="仿宋"/>
          <w:b/>
          <w:sz w:val="24"/>
        </w:rPr>
        <w:t>设施配备条件</w:t>
      </w:r>
      <w:r>
        <w:rPr>
          <w:rFonts w:hint="eastAsia" w:ascii="Times New Roman" w:hAnsi="Times New Roman" w:eastAsia="宋体" w:cs="仿宋"/>
          <w:b/>
          <w:sz w:val="24"/>
          <w:lang w:eastAsia="zh-CN"/>
        </w:rPr>
        <w:t>：</w:t>
      </w:r>
    </w:p>
    <w:p w14:paraId="05C0D7DB">
      <w:pPr>
        <w:keepNext w:val="0"/>
        <w:keepLines w:val="0"/>
        <w:pageBreakBefore w:val="0"/>
        <w:widowControl w:val="0"/>
        <w:spacing w:line="320" w:lineRule="exact"/>
        <w:ind w:firstLine="482"/>
        <w:rPr>
          <w:rFonts w:ascii="Times New Roman" w:hAnsi="Times New Roman" w:eastAsia="宋体" w:cs="仿宋"/>
          <w:b w:val="0"/>
          <w:bCs/>
          <w:sz w:val="24"/>
        </w:rPr>
      </w:pPr>
      <w:r>
        <w:rPr>
          <w:rFonts w:ascii="Times New Roman" w:hAnsi="Times New Roman" w:eastAsia="宋体" w:cs="仿宋"/>
          <w:b w:val="0"/>
          <w:bCs/>
          <w:sz w:val="24"/>
        </w:rPr>
        <w:t>室外活动场地面积按人均2平方米标准设置，建有与听力(言语)残疾儿童相适应的运动器材和游戏娱乐设施，室外场地应独立，设有安全提示标志和安全设施，确保无安全隐患。</w:t>
      </w:r>
    </w:p>
    <w:p w14:paraId="59132A82">
      <w:pPr>
        <w:keepNext w:val="0"/>
        <w:keepLines w:val="0"/>
        <w:pageBreakBefore w:val="0"/>
        <w:widowControl w:val="0"/>
        <w:spacing w:line="320" w:lineRule="exact"/>
        <w:ind w:firstLine="482"/>
        <w:rPr>
          <w:rFonts w:hint="eastAsia" w:ascii="Times New Roman" w:hAnsi="Times New Roman" w:eastAsia="宋体" w:cs="仿宋"/>
          <w:b w:val="0"/>
          <w:bCs/>
          <w:sz w:val="24"/>
          <w:lang w:eastAsia="zh-CN"/>
        </w:rPr>
      </w:pPr>
      <w:r>
        <w:rPr>
          <w:rFonts w:ascii="Times New Roman" w:hAnsi="Times New Roman" w:eastAsia="宋体" w:cs="仿宋"/>
          <w:b w:val="0"/>
          <w:bCs/>
          <w:sz w:val="24"/>
        </w:rPr>
        <w:t>康复评估设备</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听觉言语康复评估工具、言语听觉反应评估工具、希</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内学习能力测验、格雷费斯智力测验、言语功能评估仪</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承接人工耳蜗</w:t>
      </w:r>
      <w:r>
        <w:rPr>
          <w:rFonts w:hint="eastAsia" w:ascii="Times New Roman" w:hAnsi="Times New Roman" w:eastAsia="宋体" w:cs="仿宋"/>
          <w:b w:val="0"/>
          <w:bCs/>
          <w:sz w:val="24"/>
          <w:lang w:eastAsia="zh-CN"/>
        </w:rPr>
        <w:t>植入</w:t>
      </w:r>
      <w:r>
        <w:rPr>
          <w:rFonts w:ascii="Times New Roman" w:hAnsi="Times New Roman" w:eastAsia="宋体" w:cs="仿宋"/>
          <w:b w:val="0"/>
          <w:bCs/>
          <w:sz w:val="24"/>
        </w:rPr>
        <w:t>手术后康复训练的机构配备人工耳蜗调试设备</w:t>
      </w:r>
      <w:r>
        <w:rPr>
          <w:rFonts w:hint="eastAsia" w:ascii="Times New Roman" w:hAnsi="Times New Roman" w:eastAsia="宋体" w:cs="仿宋"/>
          <w:b w:val="0"/>
          <w:bCs/>
          <w:sz w:val="24"/>
          <w:lang w:eastAsia="zh-CN"/>
        </w:rPr>
        <w:t>。</w:t>
      </w:r>
    </w:p>
    <w:p w14:paraId="03C5E3F0">
      <w:pPr>
        <w:keepNext w:val="0"/>
        <w:keepLines w:val="0"/>
        <w:pageBreakBefore w:val="0"/>
        <w:widowControl w:val="0"/>
        <w:spacing w:line="320" w:lineRule="exact"/>
        <w:ind w:firstLine="482"/>
        <w:rPr>
          <w:rFonts w:ascii="Times New Roman" w:hAnsi="Times New Roman" w:eastAsia="宋体" w:cs="仿宋"/>
          <w:b w:val="0"/>
          <w:bCs/>
          <w:sz w:val="24"/>
        </w:rPr>
      </w:pPr>
      <w:r>
        <w:rPr>
          <w:rFonts w:ascii="Times New Roman" w:hAnsi="Times New Roman" w:eastAsia="宋体" w:cs="仿宋"/>
          <w:b w:val="0"/>
          <w:bCs/>
          <w:sz w:val="24"/>
        </w:rPr>
        <w:t>听力学设备</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听能保养包、助听器保养工具、听力计(带声场插入式耳机、压耳式耳机、骨导耳机)、视觉强化测听设备、听觉评估仪、测听玩具、电耳镜、简易声级计等。</w:t>
      </w:r>
    </w:p>
    <w:p w14:paraId="68F9A00C">
      <w:pPr>
        <w:keepNext w:val="0"/>
        <w:keepLines w:val="0"/>
        <w:pageBreakBefore w:val="0"/>
        <w:widowControl w:val="0"/>
        <w:spacing w:line="320" w:lineRule="exact"/>
        <w:ind w:firstLine="482"/>
        <w:rPr>
          <w:rFonts w:ascii="Times New Roman" w:hAnsi="Times New Roman" w:eastAsia="宋体" w:cs="仿宋"/>
          <w:b w:val="0"/>
          <w:bCs/>
          <w:sz w:val="24"/>
        </w:rPr>
      </w:pPr>
      <w:r>
        <w:rPr>
          <w:rFonts w:ascii="Times New Roman" w:hAnsi="Times New Roman" w:eastAsia="宋体" w:cs="仿宋"/>
          <w:b w:val="0"/>
          <w:bCs/>
          <w:sz w:val="24"/>
        </w:rPr>
        <w:t>康复训练与教学设备</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打击乐器、可发声玩教具、言语康复训练系统用品用具、听觉干预系统用品用具、电脑、电视机、投影仪、电子琴(钢琴)、幼儿园教材、听力(言语)残疾儿童康复训练系列教材、教育类图书、体育活动器材等。</w:t>
      </w:r>
    </w:p>
    <w:p w14:paraId="44E7470F">
      <w:pPr>
        <w:keepNext w:val="0"/>
        <w:keepLines w:val="0"/>
        <w:pageBreakBefore w:val="0"/>
        <w:widowControl w:val="0"/>
        <w:spacing w:line="320" w:lineRule="exact"/>
        <w:ind w:firstLine="482"/>
        <w:rPr>
          <w:rFonts w:ascii="Times New Roman" w:hAnsi="Times New Roman" w:eastAsia="宋体" w:cs="仿宋"/>
          <w:b w:val="0"/>
          <w:bCs/>
          <w:sz w:val="24"/>
        </w:rPr>
      </w:pPr>
      <w:r>
        <w:rPr>
          <w:rFonts w:ascii="Times New Roman" w:hAnsi="Times New Roman" w:eastAsia="宋体" w:cs="仿宋"/>
          <w:b w:val="0"/>
          <w:bCs/>
          <w:sz w:val="24"/>
        </w:rPr>
        <w:t>其它设备</w:t>
      </w:r>
      <w:r>
        <w:rPr>
          <w:rFonts w:hint="eastAsia" w:ascii="Times New Roman" w:hAnsi="Times New Roman" w:eastAsia="宋体" w:cs="仿宋"/>
          <w:b w:val="0"/>
          <w:bCs/>
          <w:sz w:val="24"/>
          <w:lang w:eastAsia="zh-CN"/>
        </w:rPr>
        <w:t>：</w:t>
      </w:r>
      <w:r>
        <w:rPr>
          <w:rFonts w:ascii="Times New Roman" w:hAnsi="Times New Roman" w:eastAsia="宋体" w:cs="仿宋"/>
          <w:b w:val="0"/>
          <w:bCs/>
          <w:sz w:val="24"/>
        </w:rPr>
        <w:t>按人均4件的标准配备符合儿童训练特点的各类玩具和图书。配备家长培训所需的教学设备。</w:t>
      </w:r>
    </w:p>
    <w:p w14:paraId="08F18815">
      <w:pPr>
        <w:keepNext w:val="0"/>
        <w:keepLines w:val="0"/>
        <w:pageBreakBefore w:val="0"/>
        <w:widowControl w:val="0"/>
        <w:spacing w:line="340" w:lineRule="exact"/>
        <w:ind w:firstLine="482"/>
        <w:rPr>
          <w:rFonts w:hint="eastAsia" w:ascii="Times New Roman" w:hAnsi="Times New Roman" w:eastAsia="宋体" w:cs="仿宋"/>
          <w:b/>
          <w:sz w:val="24"/>
          <w:lang w:val="en-US" w:eastAsia="zh-CN"/>
        </w:rPr>
      </w:pPr>
      <w:r>
        <w:rPr>
          <w:rFonts w:hint="eastAsia" w:ascii="Times New Roman" w:hAnsi="Times New Roman" w:eastAsia="宋体" w:cs="仿宋"/>
          <w:b w:val="0"/>
          <w:bCs/>
          <w:color w:val="FF0000"/>
          <w:sz w:val="24"/>
          <w:lang w:val="en-US" w:eastAsia="zh-CN"/>
        </w:rPr>
        <w:t>配备监控设施</w:t>
      </w:r>
      <w:r>
        <w:rPr>
          <w:rFonts w:hint="eastAsia" w:ascii="Times New Roman" w:hAnsi="Times New Roman" w:cs="仿宋"/>
          <w:b w:val="0"/>
          <w:bCs/>
          <w:color w:val="FF0000"/>
          <w:sz w:val="24"/>
          <w:lang w:val="en-US" w:eastAsia="zh-CN"/>
        </w:rPr>
        <w:t>：</w:t>
      </w:r>
      <w:r>
        <w:rPr>
          <w:rFonts w:hint="eastAsia" w:ascii="Times New Roman" w:hAnsi="Times New Roman" w:eastAsia="宋体" w:cs="仿宋"/>
          <w:b w:val="0"/>
          <w:bCs/>
          <w:color w:val="FF0000"/>
          <w:sz w:val="24"/>
          <w:lang w:val="en-US" w:eastAsia="zh-CN"/>
        </w:rPr>
        <w:t>康复训练全程监控，监控录像资料应保留2个月以上</w:t>
      </w:r>
      <w:r>
        <w:rPr>
          <w:rFonts w:hint="eastAsia" w:ascii="Times New Roman" w:hAnsi="Times New Roman" w:cs="仿宋"/>
          <w:b w:val="0"/>
          <w:bCs/>
          <w:color w:val="FF0000"/>
          <w:sz w:val="24"/>
          <w:lang w:val="en-US" w:eastAsia="zh-CN"/>
        </w:rPr>
        <w:t>，所产生的一切费用由乙方自行承担</w:t>
      </w:r>
      <w:r>
        <w:rPr>
          <w:rFonts w:hint="eastAsia" w:ascii="Times New Roman" w:hAnsi="Times New Roman" w:eastAsia="宋体" w:cs="仿宋"/>
          <w:b w:val="0"/>
          <w:bCs/>
          <w:color w:val="FF0000"/>
          <w:sz w:val="24"/>
          <w:lang w:val="en-US" w:eastAsia="zh-CN"/>
        </w:rPr>
        <w:t>。</w:t>
      </w:r>
    </w:p>
    <w:p w14:paraId="2648230F">
      <w:pPr>
        <w:keepNext w:val="0"/>
        <w:keepLines w:val="0"/>
        <w:pageBreakBefore w:val="0"/>
        <w:widowControl w:val="0"/>
        <w:spacing w:line="320" w:lineRule="exact"/>
        <w:ind w:firstLine="482"/>
        <w:rPr>
          <w:rFonts w:ascii="Times New Roman" w:hAnsi="Times New Roman" w:eastAsia="宋体" w:cs="仿宋"/>
          <w:b/>
          <w:sz w:val="24"/>
        </w:rPr>
      </w:pPr>
      <w:r>
        <w:rPr>
          <w:rFonts w:hint="eastAsia" w:ascii="Times New Roman" w:hAnsi="Times New Roman" w:eastAsia="宋体" w:cs="仿宋"/>
          <w:b/>
          <w:sz w:val="24"/>
          <w:lang w:val="en-US" w:eastAsia="zh-CN"/>
        </w:rPr>
        <w:t>4、机构</w:t>
      </w:r>
      <w:r>
        <w:rPr>
          <w:rFonts w:hint="eastAsia" w:ascii="Times New Roman" w:hAnsi="Times New Roman" w:eastAsia="宋体" w:cs="仿宋"/>
          <w:b/>
          <w:sz w:val="24"/>
        </w:rPr>
        <w:t>管理</w:t>
      </w:r>
    </w:p>
    <w:p w14:paraId="3FBFE2A2">
      <w:pPr>
        <w:keepNext w:val="0"/>
        <w:keepLines w:val="0"/>
        <w:pageBreakBefore w:val="0"/>
        <w:widowControl w:val="0"/>
        <w:spacing w:line="32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4.1</w:t>
      </w:r>
      <w:r>
        <w:rPr>
          <w:rFonts w:hint="eastAsia" w:ascii="Times New Roman" w:hAnsi="Times New Roman" w:eastAsia="宋体" w:cs="仿宋"/>
          <w:b/>
          <w:sz w:val="24"/>
        </w:rPr>
        <w:t>人员配备</w:t>
      </w:r>
    </w:p>
    <w:p w14:paraId="0148C1EE">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至少配备1名业务主管，根据需求可增设管理副职和其它管理人员；</w:t>
      </w:r>
    </w:p>
    <w:p w14:paraId="75AB64E5">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至少配备1名听能康复服务人员；</w:t>
      </w:r>
    </w:p>
    <w:p w14:paraId="0BE3F38D">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配备相应的听觉口语康复教师、学前教育老师、特殊教育教师；</w:t>
      </w:r>
    </w:p>
    <w:p w14:paraId="2D2C48B8">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配备相应的保育员、卫生保健老师、社区指导人员；</w:t>
      </w:r>
    </w:p>
    <w:p w14:paraId="7F4C05DC">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配备后勤保障工作人员。</w:t>
      </w:r>
    </w:p>
    <w:p w14:paraId="73DD1105">
      <w:pPr>
        <w:keepNext w:val="0"/>
        <w:keepLines w:val="0"/>
        <w:pageBreakBefore w:val="0"/>
        <w:widowControl w:val="0"/>
        <w:spacing w:line="320" w:lineRule="exact"/>
        <w:ind w:firstLine="482"/>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4.2人员组成</w:t>
      </w:r>
    </w:p>
    <w:p w14:paraId="611E2D88">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听力康复专业技术人员、教师不低于机构内职工总数的70%；</w:t>
      </w:r>
    </w:p>
    <w:p w14:paraId="6055243E">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听能康复服务人员与残疾儿童比例不低于1:50；</w:t>
      </w:r>
    </w:p>
    <w:p w14:paraId="63DE2861">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个训教师与残疾儿童比例不低于1:8；</w:t>
      </w:r>
    </w:p>
    <w:p w14:paraId="3585692F">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b w:val="0"/>
          <w:bCs/>
          <w:sz w:val="24"/>
          <w:lang w:val="en-US" w:eastAsia="zh-CN"/>
        </w:rPr>
        <w:t>集体课教师与残疾儿童比例不低于1:10。</w:t>
      </w:r>
    </w:p>
    <w:p w14:paraId="213D16E8">
      <w:pPr>
        <w:keepNext w:val="0"/>
        <w:keepLines w:val="0"/>
        <w:pageBreakBefore w:val="0"/>
        <w:widowControl w:val="0"/>
        <w:spacing w:line="320" w:lineRule="exact"/>
        <w:ind w:firstLine="482"/>
        <w:rPr>
          <w:rFonts w:ascii="Times New Roman" w:hAnsi="Times New Roman" w:eastAsia="宋体" w:cs="仿宋"/>
          <w:b/>
          <w:sz w:val="24"/>
        </w:rPr>
      </w:pPr>
      <w:r>
        <w:rPr>
          <w:rFonts w:hint="eastAsia" w:ascii="Times New Roman" w:hAnsi="Times New Roman" w:eastAsia="宋体" w:cs="仿宋"/>
          <w:b/>
          <w:sz w:val="24"/>
          <w:lang w:val="en-US" w:eastAsia="zh-CN"/>
        </w:rPr>
        <w:t>4.3</w:t>
      </w:r>
      <w:r>
        <w:rPr>
          <w:rFonts w:hint="eastAsia" w:ascii="Times New Roman" w:hAnsi="Times New Roman" w:eastAsia="宋体" w:cs="仿宋"/>
          <w:b/>
          <w:sz w:val="24"/>
        </w:rPr>
        <w:t>资历要求</w:t>
      </w:r>
    </w:p>
    <w:p w14:paraId="4E6736B1">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业务主管具有大专以上学历，3年以上听力语言康复工作经验。每年至少参加1次听力残疾康复服务管理培训或幼儿园管理培训。</w:t>
      </w:r>
    </w:p>
    <w:p w14:paraId="1E7B8D52">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听力康复教师、特教教师、学前教育教师应具备中专以上学历，取得相应的教师资格证。</w:t>
      </w:r>
    </w:p>
    <w:p w14:paraId="093F1970">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听能康复服务人员须具备大专以上学历，接受过专业培训，取得助听器验配师国家职业资格。</w:t>
      </w:r>
    </w:p>
    <w:p w14:paraId="01F507B1">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每年不少于30%康复专业技术人员参加市级以上组织的规范化培训不少于21个学时。</w:t>
      </w:r>
    </w:p>
    <w:p w14:paraId="6559AF33">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卫生保健医生应具备中专以上学历，取得相关资质，并接受相关培训。</w:t>
      </w:r>
    </w:p>
    <w:p w14:paraId="1E9327EE">
      <w:pPr>
        <w:keepNext w:val="0"/>
        <w:keepLines w:val="0"/>
        <w:pageBreakBefore w:val="0"/>
        <w:widowControl w:val="0"/>
        <w:spacing w:line="320" w:lineRule="exact"/>
        <w:ind w:firstLine="482"/>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保育员具备高中以上学历，并受过幼儿保育职业培训。</w:t>
      </w:r>
    </w:p>
    <w:p w14:paraId="0ACF8537">
      <w:pPr>
        <w:keepNext w:val="0"/>
        <w:keepLines w:val="0"/>
        <w:pageBreakBefore w:val="0"/>
        <w:widowControl w:val="0"/>
        <w:spacing w:line="320" w:lineRule="exact"/>
        <w:ind w:firstLine="482"/>
        <w:rPr>
          <w:rFonts w:ascii="Times New Roman" w:hAnsi="Times New Roman" w:eastAsia="宋体" w:cs="仿宋"/>
          <w:sz w:val="24"/>
          <w:lang w:val="en-US" w:eastAsia="zh-CN"/>
        </w:rPr>
      </w:pPr>
      <w:r>
        <w:rPr>
          <w:rFonts w:hint="eastAsia" w:ascii="Times New Roman" w:hAnsi="Times New Roman" w:eastAsia="宋体" w:cs="仿宋"/>
          <w:b w:val="0"/>
          <w:bCs/>
          <w:sz w:val="24"/>
          <w:lang w:val="en-US" w:eastAsia="zh-CN"/>
        </w:rPr>
        <w:t>机构所有工作人员根据岗位要求取得健康证明。</w:t>
      </w:r>
    </w:p>
    <w:p w14:paraId="1B628BDE">
      <w:pPr>
        <w:keepNext w:val="0"/>
        <w:keepLines w:val="0"/>
        <w:pageBreakBefore w:val="0"/>
        <w:widowControl w:val="0"/>
        <w:spacing w:line="320" w:lineRule="exact"/>
        <w:ind w:firstLine="482"/>
        <w:rPr>
          <w:rFonts w:ascii="Times New Roman" w:hAnsi="Times New Roman" w:eastAsia="宋体" w:cs="仿宋"/>
          <w:b/>
          <w:sz w:val="24"/>
          <w:lang w:val="en-US" w:eastAsia="zh-CN"/>
        </w:rPr>
      </w:pPr>
      <w:r>
        <w:rPr>
          <w:rFonts w:hint="eastAsia" w:ascii="Times New Roman" w:hAnsi="Times New Roman" w:eastAsia="宋体" w:cs="仿宋"/>
          <w:sz w:val="24"/>
          <w:lang w:val="en-US" w:eastAsia="zh-CN"/>
        </w:rPr>
        <w:t>5、</w:t>
      </w:r>
      <w:r>
        <w:rPr>
          <w:rFonts w:hint="eastAsia" w:ascii="Times New Roman" w:hAnsi="Times New Roman" w:eastAsia="宋体" w:cs="仿宋"/>
          <w:b/>
          <w:sz w:val="24"/>
          <w:lang w:val="en-US" w:eastAsia="zh-CN"/>
        </w:rPr>
        <w:t>业务功能</w:t>
      </w:r>
    </w:p>
    <w:p w14:paraId="6576A905">
      <w:pPr>
        <w:keepNext w:val="0"/>
        <w:keepLines w:val="0"/>
        <w:pageBreakBefore w:val="0"/>
        <w:widowControl w:val="0"/>
        <w:spacing w:line="320" w:lineRule="exact"/>
        <w:ind w:firstLine="482"/>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5.1部门设置</w:t>
      </w:r>
    </w:p>
    <w:p w14:paraId="78FFCFA3">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sz w:val="24"/>
        </w:rPr>
        <w:t>参照《幼儿园工作规程》相关要求设立，同时满足听力言语康复工作岗位需求。</w:t>
      </w:r>
    </w:p>
    <w:p w14:paraId="5EAC7A5A">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b/>
          <w:sz w:val="24"/>
          <w:lang w:val="en-US" w:eastAsia="zh-CN"/>
        </w:rPr>
        <w:t>5.2</w:t>
      </w:r>
      <w:r>
        <w:rPr>
          <w:rFonts w:hint="eastAsia" w:ascii="Times New Roman" w:hAnsi="Times New Roman" w:eastAsia="宋体" w:cs="仿宋"/>
          <w:b/>
          <w:sz w:val="24"/>
        </w:rPr>
        <w:t>服务能力</w:t>
      </w:r>
    </w:p>
    <w:p w14:paraId="439D3641">
      <w:pPr>
        <w:keepNext w:val="0"/>
        <w:keepLines w:val="0"/>
        <w:pageBreakBefore w:val="0"/>
        <w:widowControl w:val="0"/>
        <w:spacing w:line="320" w:lineRule="exact"/>
        <w:ind w:firstLine="482"/>
        <w:rPr>
          <w:rFonts w:hint="eastAsia" w:ascii="Times New Roman" w:hAnsi="Times New Roman" w:eastAsia="宋体" w:cs="仿宋"/>
          <w:b/>
          <w:bCs/>
          <w:color w:val="FF0000"/>
          <w:sz w:val="24"/>
          <w:lang w:val="en-US" w:eastAsia="zh-CN"/>
        </w:rPr>
      </w:pPr>
      <w:r>
        <w:rPr>
          <w:rFonts w:hint="eastAsia" w:ascii="Times New Roman" w:hAnsi="Times New Roman" w:eastAsia="宋体" w:cs="仿宋"/>
          <w:b/>
          <w:bCs/>
          <w:color w:val="FF0000"/>
          <w:sz w:val="24"/>
          <w:lang w:val="en-US" w:eastAsia="zh-CN"/>
        </w:rPr>
        <w:t>具有同时收训</w:t>
      </w:r>
      <w:r>
        <w:rPr>
          <w:rFonts w:hint="eastAsia" w:ascii="Times New Roman" w:hAnsi="Times New Roman" w:cs="仿宋"/>
          <w:b/>
          <w:bCs/>
          <w:color w:val="FF0000"/>
          <w:sz w:val="24"/>
          <w:lang w:val="en-US" w:eastAsia="zh-CN"/>
        </w:rPr>
        <w:t>7</w:t>
      </w:r>
      <w:r>
        <w:rPr>
          <w:rFonts w:hint="eastAsia" w:ascii="Times New Roman" w:hAnsi="Times New Roman" w:eastAsia="宋体" w:cs="仿宋"/>
          <w:b/>
          <w:bCs/>
          <w:color w:val="FF0000"/>
          <w:sz w:val="24"/>
          <w:lang w:val="en-US" w:eastAsia="zh-CN"/>
        </w:rPr>
        <w:t>0名以上听力言语残疾儿童的能力。</w:t>
      </w:r>
    </w:p>
    <w:p w14:paraId="78341A3A">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p>
    <w:p w14:paraId="77A4968E">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听力康复服务：受训儿童听力测试每年不少于2次，助听器调试每年不少于2次，人工耳蜗调试第一年不少于3次，之后每年不少于1次。主要服务内容是开展听力测试、助听器验配和调试、人工耳蜗调试、辅听设备选配。</w:t>
      </w:r>
    </w:p>
    <w:p w14:paraId="76FFB2F2">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听觉言语功能训练：年度机构内康复服务时间不少于9个月。</w:t>
      </w:r>
    </w:p>
    <w:p w14:paraId="49C86C34">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全日制康复服务每天4小时【当月法定工作(学习)日】，课程设置应符合残疾儿童个性特征，每天个性化服务支持不少于1节课40分钟。</w:t>
      </w:r>
    </w:p>
    <w:p w14:paraId="7BCAB311">
      <w:pPr>
        <w:keepNext w:val="0"/>
        <w:keepLines w:val="0"/>
        <w:pageBreakBefore w:val="0"/>
        <w:widowControl w:val="0"/>
        <w:spacing w:line="320" w:lineRule="exact"/>
        <w:ind w:firstLine="482"/>
        <w:rPr>
          <w:rFonts w:hint="eastAsia"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非全日制康复服务每月不少于20天，每天不少于1.5小时，其中个性化服务支持不少于1小时。</w:t>
      </w:r>
    </w:p>
    <w:p w14:paraId="11A4202F">
      <w:pPr>
        <w:keepNext w:val="0"/>
        <w:keepLines w:val="0"/>
        <w:pageBreakBefore w:val="0"/>
        <w:widowControl w:val="0"/>
        <w:spacing w:line="320" w:lineRule="exact"/>
        <w:ind w:firstLine="482"/>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支持性服务：受训儿童支持性服务结合需求进行，主要提供行为矫治、感觉统合训练、心理辅导等康复服务。为听力残疾儿童家长提供家庭康复指导、心理辅导、政策咨询、生育遗传咨询指导服务。第一年每月至少进行2次，每次不少于 30分钟，第二、三年每季度至少2次，每次不少于30分钟。社会融合活动每季度不少于1次，每次不少于1小时。</w:t>
      </w:r>
    </w:p>
    <w:p w14:paraId="375C06EF">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sz w:val="24"/>
          <w:lang w:val="en-US" w:eastAsia="zh-CN"/>
        </w:rPr>
        <w:t>残疾儿童年度康复训练前、训练中、训练后应进行康复效能评估，每年不少于3次</w:t>
      </w:r>
      <w:r>
        <w:rPr>
          <w:rFonts w:hint="eastAsia" w:ascii="Times New Roman" w:hAnsi="Times New Roman" w:eastAsia="宋体" w:cs="仿宋"/>
          <w:sz w:val="24"/>
        </w:rPr>
        <w:t>。</w:t>
      </w:r>
    </w:p>
    <w:p w14:paraId="635CF221">
      <w:pPr>
        <w:keepNext w:val="0"/>
        <w:keepLines w:val="0"/>
        <w:pageBreakBefore w:val="0"/>
        <w:widowControl w:val="0"/>
        <w:spacing w:line="320" w:lineRule="exact"/>
        <w:ind w:firstLine="482"/>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5.3工作台账</w:t>
      </w:r>
    </w:p>
    <w:p w14:paraId="7BC9E879">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sz w:val="24"/>
        </w:rPr>
        <w:t>康复服务档案齐全，包括残疾儿童康复服务登记表、初始状态评估表、康复训练计划、康复训练日志、阶段性评估表、训练出勤表。</w:t>
      </w:r>
    </w:p>
    <w:p w14:paraId="297CA034">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sz w:val="24"/>
        </w:rPr>
        <w:t>《残疾儿童康复救助平台》</w:t>
      </w:r>
      <w:r>
        <w:rPr>
          <w:rFonts w:hint="eastAsia" w:ascii="Times New Roman" w:hAnsi="Times New Roman" w:eastAsia="宋体" w:cs="仿宋"/>
          <w:sz w:val="24"/>
          <w:lang w:eastAsia="zh-CN"/>
        </w:rPr>
        <w:t>数据录入</w:t>
      </w:r>
      <w:r>
        <w:rPr>
          <w:rFonts w:hint="eastAsia" w:ascii="Times New Roman" w:hAnsi="Times New Roman" w:eastAsia="宋体" w:cs="仿宋"/>
          <w:sz w:val="24"/>
        </w:rPr>
        <w:t>及时、准确、完备。</w:t>
      </w:r>
    </w:p>
    <w:p w14:paraId="6BBD61FB">
      <w:pPr>
        <w:keepNext w:val="0"/>
        <w:keepLines w:val="0"/>
        <w:pageBreakBefore w:val="0"/>
        <w:widowControl w:val="0"/>
        <w:spacing w:line="320" w:lineRule="exact"/>
        <w:ind w:firstLine="482"/>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5.4家长培训</w:t>
      </w:r>
    </w:p>
    <w:p w14:paraId="01B8A786">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ascii="Times New Roman" w:hAnsi="Times New Roman" w:eastAsia="宋体" w:cs="仿宋"/>
          <w:sz w:val="24"/>
        </w:rPr>
        <w:t>定期向家长提供每年不少于4次的相关培训，并有相关书面和视频记录</w:t>
      </w:r>
      <w:r>
        <w:rPr>
          <w:rFonts w:hint="eastAsia" w:ascii="Times New Roman" w:hAnsi="Times New Roman" w:eastAsia="宋体" w:cs="仿宋"/>
          <w:sz w:val="24"/>
          <w:lang w:eastAsia="zh-CN"/>
        </w:rPr>
        <w:t>；</w:t>
      </w:r>
    </w:p>
    <w:p w14:paraId="18153FED">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ascii="Times New Roman" w:hAnsi="Times New Roman" w:eastAsia="宋体" w:cs="仿宋"/>
          <w:sz w:val="24"/>
        </w:rPr>
        <w:t>家长了解在社区和家庭环境中进行康复训练的目标</w:t>
      </w:r>
      <w:r>
        <w:rPr>
          <w:rFonts w:hint="eastAsia" w:ascii="Times New Roman" w:hAnsi="Times New Roman" w:eastAsia="宋体" w:cs="仿宋"/>
          <w:sz w:val="24"/>
          <w:lang w:eastAsia="zh-CN"/>
        </w:rPr>
        <w:t>；</w:t>
      </w:r>
    </w:p>
    <w:p w14:paraId="3734605A">
      <w:pPr>
        <w:keepNext w:val="0"/>
        <w:keepLines w:val="0"/>
        <w:pageBreakBefore w:val="0"/>
        <w:widowControl w:val="0"/>
        <w:spacing w:line="320" w:lineRule="exact"/>
        <w:ind w:firstLine="482"/>
        <w:rPr>
          <w:rFonts w:ascii="Times New Roman" w:hAnsi="Times New Roman" w:eastAsia="宋体" w:cs="仿宋"/>
          <w:sz w:val="24"/>
        </w:rPr>
      </w:pPr>
      <w:r>
        <w:rPr>
          <w:rFonts w:ascii="Times New Roman" w:hAnsi="Times New Roman" w:eastAsia="宋体" w:cs="仿宋"/>
          <w:sz w:val="24"/>
        </w:rPr>
        <w:t>家长掌握基本康复训练的流程和组织实施方法。</w:t>
      </w:r>
    </w:p>
    <w:p w14:paraId="4E45B584">
      <w:pPr>
        <w:keepNext w:val="0"/>
        <w:keepLines w:val="0"/>
        <w:pageBreakBefore w:val="0"/>
        <w:widowControl w:val="0"/>
        <w:spacing w:line="32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5.5</w:t>
      </w:r>
      <w:r>
        <w:rPr>
          <w:rFonts w:hint="eastAsia" w:ascii="Times New Roman" w:hAnsi="Times New Roman" w:eastAsia="宋体" w:cs="仿宋"/>
          <w:b/>
          <w:sz w:val="24"/>
        </w:rPr>
        <w:t>业务指导</w:t>
      </w:r>
    </w:p>
    <w:p w14:paraId="2369A626">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rPr>
        <w:t>开展儿童转介或跟踪服务</w:t>
      </w:r>
      <w:r>
        <w:rPr>
          <w:rFonts w:hint="eastAsia" w:ascii="Times New Roman" w:hAnsi="Times New Roman" w:cs="仿宋"/>
          <w:sz w:val="24"/>
          <w:lang w:eastAsia="zh-CN"/>
        </w:rPr>
        <w:t>；</w:t>
      </w:r>
    </w:p>
    <w:p w14:paraId="10AE4540">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rPr>
        <w:t>面向社区提供家庭康复延伸的培训并记录</w:t>
      </w:r>
      <w:r>
        <w:rPr>
          <w:rFonts w:hint="eastAsia" w:ascii="Times New Roman" w:hAnsi="Times New Roman" w:eastAsia="宋体" w:cs="仿宋"/>
          <w:sz w:val="24"/>
          <w:lang w:eastAsia="zh-CN"/>
        </w:rPr>
        <w:t>；</w:t>
      </w:r>
    </w:p>
    <w:p w14:paraId="3273BD65">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rPr>
        <w:t>根据服务对象特点提供指导服务、派发相关宣传资料</w:t>
      </w:r>
      <w:r>
        <w:rPr>
          <w:rFonts w:hint="eastAsia" w:ascii="Times New Roman" w:hAnsi="Times New Roman" w:eastAsia="宋体" w:cs="仿宋"/>
          <w:sz w:val="24"/>
          <w:lang w:eastAsia="zh-CN"/>
        </w:rPr>
        <w:t>；</w:t>
      </w:r>
    </w:p>
    <w:p w14:paraId="699CDFD7">
      <w:pPr>
        <w:keepNext w:val="0"/>
        <w:keepLines w:val="0"/>
        <w:pageBreakBefore w:val="0"/>
        <w:widowControl w:val="0"/>
        <w:spacing w:line="320" w:lineRule="exact"/>
        <w:ind w:firstLine="482"/>
        <w:rPr>
          <w:rFonts w:hint="eastAsia" w:ascii="Times New Roman" w:hAnsi="Times New Roman" w:eastAsia="宋体" w:cs="仿宋"/>
          <w:sz w:val="24"/>
          <w:lang w:eastAsia="zh-CN"/>
        </w:rPr>
      </w:pPr>
      <w:r>
        <w:rPr>
          <w:rFonts w:hint="eastAsia" w:ascii="Times New Roman" w:hAnsi="Times New Roman" w:eastAsia="宋体" w:cs="仿宋"/>
          <w:sz w:val="24"/>
          <w:lang w:eastAsia="zh-CN"/>
        </w:rPr>
        <w:t>结合“爱耳日”“全国助残日”等专题日，参与公益活动，每年不少于2 次；</w:t>
      </w:r>
    </w:p>
    <w:p w14:paraId="1A8F9D1E">
      <w:pPr>
        <w:keepNext w:val="0"/>
        <w:keepLines w:val="0"/>
        <w:pageBreakBefore w:val="0"/>
        <w:widowControl w:val="0"/>
        <w:spacing w:line="320" w:lineRule="exact"/>
        <w:ind w:firstLine="482"/>
        <w:rPr>
          <w:rFonts w:hint="eastAsia" w:ascii="Times New Roman" w:hAnsi="Times New Roman" w:eastAsia="宋体" w:cs="仿宋"/>
          <w:sz w:val="24"/>
        </w:rPr>
      </w:pPr>
      <w:r>
        <w:rPr>
          <w:rFonts w:hint="eastAsia" w:ascii="Times New Roman" w:hAnsi="Times New Roman" w:eastAsia="宋体" w:cs="仿宋"/>
          <w:sz w:val="24"/>
        </w:rPr>
        <w:t>对于康复效果明显，符合</w:t>
      </w:r>
      <w:r>
        <w:rPr>
          <w:rFonts w:hint="eastAsia" w:ascii="Times New Roman" w:hAnsi="Times New Roman" w:eastAsia="宋体" w:cs="仿宋"/>
          <w:sz w:val="24"/>
          <w:lang w:val="en-US" w:eastAsia="zh-CN"/>
        </w:rPr>
        <w:t>入</w:t>
      </w:r>
      <w:r>
        <w:rPr>
          <w:rFonts w:hint="eastAsia" w:ascii="Times New Roman" w:hAnsi="Times New Roman" w:eastAsia="宋体" w:cs="仿宋"/>
          <w:sz w:val="24"/>
        </w:rPr>
        <w:t>园、</w:t>
      </w:r>
      <w:r>
        <w:rPr>
          <w:rFonts w:hint="eastAsia" w:ascii="Times New Roman" w:hAnsi="Times New Roman" w:eastAsia="宋体" w:cs="仿宋"/>
          <w:sz w:val="24"/>
          <w:lang w:val="en-US" w:eastAsia="zh-CN"/>
        </w:rPr>
        <w:t>入</w:t>
      </w:r>
      <w:r>
        <w:rPr>
          <w:rFonts w:hint="eastAsia" w:ascii="Times New Roman" w:hAnsi="Times New Roman" w:eastAsia="宋体" w:cs="仿宋"/>
          <w:sz w:val="24"/>
        </w:rPr>
        <w:t>学条件的儿童，及时动员家长办理</w:t>
      </w:r>
      <w:r>
        <w:rPr>
          <w:rFonts w:hint="eastAsia" w:ascii="Times New Roman" w:hAnsi="Times New Roman" w:eastAsia="宋体" w:cs="仿宋"/>
          <w:sz w:val="24"/>
          <w:lang w:val="en-US" w:eastAsia="zh-CN"/>
        </w:rPr>
        <w:t>入</w:t>
      </w:r>
      <w:r>
        <w:rPr>
          <w:rFonts w:hint="eastAsia" w:ascii="Times New Roman" w:hAnsi="Times New Roman" w:eastAsia="宋体" w:cs="仿宋"/>
          <w:sz w:val="24"/>
        </w:rPr>
        <w:t>园、</w:t>
      </w:r>
      <w:r>
        <w:rPr>
          <w:rFonts w:hint="eastAsia" w:ascii="Times New Roman" w:hAnsi="Times New Roman" w:eastAsia="宋体" w:cs="仿宋"/>
          <w:sz w:val="24"/>
          <w:lang w:val="en-US" w:eastAsia="zh-CN"/>
        </w:rPr>
        <w:t>入</w:t>
      </w:r>
      <w:r>
        <w:rPr>
          <w:rFonts w:hint="eastAsia" w:ascii="Times New Roman" w:hAnsi="Times New Roman" w:eastAsia="宋体" w:cs="仿宋"/>
          <w:sz w:val="24"/>
        </w:rPr>
        <w:t>学手续，并跟踪进行康复服务指导。</w:t>
      </w:r>
    </w:p>
    <w:p w14:paraId="350DB9DF">
      <w:pPr>
        <w:keepNext w:val="0"/>
        <w:keepLines w:val="0"/>
        <w:pageBreakBefore w:val="0"/>
        <w:widowControl w:val="0"/>
        <w:spacing w:line="320" w:lineRule="exact"/>
        <w:ind w:firstLine="482"/>
        <w:rPr>
          <w:rFonts w:hint="eastAsia" w:ascii="Times New Roman" w:hAnsi="Times New Roman" w:eastAsia="宋体" w:cs="仿宋"/>
          <w:b/>
          <w:sz w:val="24"/>
        </w:rPr>
      </w:pPr>
      <w:r>
        <w:rPr>
          <w:rFonts w:hint="eastAsia" w:ascii="Times New Roman" w:hAnsi="Times New Roman" w:eastAsia="宋体" w:cs="仿宋"/>
          <w:b/>
          <w:sz w:val="24"/>
          <w:lang w:val="en-US" w:eastAsia="zh-CN"/>
        </w:rPr>
        <w:t>5.6</w:t>
      </w:r>
      <w:r>
        <w:rPr>
          <w:rFonts w:hint="eastAsia" w:ascii="Times New Roman" w:hAnsi="Times New Roman" w:eastAsia="宋体" w:cs="仿宋"/>
          <w:b/>
          <w:sz w:val="24"/>
        </w:rPr>
        <w:t>质量控制</w:t>
      </w:r>
    </w:p>
    <w:p w14:paraId="60A15DF2">
      <w:pPr>
        <w:keepNext w:val="0"/>
        <w:keepLines w:val="0"/>
        <w:pageBreakBefore w:val="0"/>
        <w:widowControl w:val="0"/>
        <w:spacing w:line="320" w:lineRule="exact"/>
        <w:ind w:firstLine="482"/>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有需求听力(言语)残疾儿童康复评估、康复训练建档率100%</w:t>
      </w:r>
      <w:r>
        <w:rPr>
          <w:rFonts w:hint="eastAsia" w:ascii="Times New Roman" w:hAnsi="Times New Roman" w:eastAsia="宋体" w:cs="仿宋"/>
          <w:b w:val="0"/>
          <w:bCs/>
          <w:sz w:val="24"/>
          <w:lang w:eastAsia="zh-CN"/>
        </w:rPr>
        <w:t>；</w:t>
      </w:r>
    </w:p>
    <w:p w14:paraId="3D8E062B">
      <w:pPr>
        <w:keepNext w:val="0"/>
        <w:keepLines w:val="0"/>
        <w:pageBreakBefore w:val="0"/>
        <w:widowControl w:val="0"/>
        <w:spacing w:line="320" w:lineRule="exact"/>
        <w:ind w:firstLine="482"/>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家长满意度达 90%以上</w:t>
      </w:r>
      <w:r>
        <w:rPr>
          <w:rFonts w:hint="eastAsia" w:ascii="Times New Roman" w:hAnsi="Times New Roman" w:eastAsia="宋体" w:cs="仿宋"/>
          <w:b w:val="0"/>
          <w:bCs/>
          <w:sz w:val="24"/>
          <w:lang w:eastAsia="zh-CN"/>
        </w:rPr>
        <w:t>；</w:t>
      </w:r>
    </w:p>
    <w:p w14:paraId="2E6E54B2">
      <w:pPr>
        <w:keepNext w:val="0"/>
        <w:keepLines w:val="0"/>
        <w:pageBreakBefore w:val="0"/>
        <w:widowControl w:val="0"/>
        <w:spacing w:line="320" w:lineRule="exact"/>
        <w:ind w:firstLine="482"/>
        <w:rPr>
          <w:rFonts w:hint="eastAsia" w:ascii="Times New Roman" w:hAnsi="Times New Roman" w:eastAsia="宋体" w:cs="仿宋"/>
          <w:b w:val="0"/>
          <w:bCs/>
          <w:sz w:val="24"/>
        </w:rPr>
      </w:pPr>
      <w:r>
        <w:rPr>
          <w:rFonts w:hint="eastAsia" w:ascii="Times New Roman" w:hAnsi="Times New Roman" w:eastAsia="宋体" w:cs="仿宋"/>
          <w:b w:val="0"/>
          <w:bCs/>
          <w:sz w:val="24"/>
        </w:rPr>
        <w:t>组织听力(言语)残疾儿童参加社会融合活动每年不少于4次。</w:t>
      </w:r>
    </w:p>
    <w:p w14:paraId="122FA3B5">
      <w:pPr>
        <w:keepNext w:val="0"/>
        <w:keepLines w:val="0"/>
        <w:pageBreakBefore w:val="0"/>
        <w:widowControl w:val="0"/>
        <w:spacing w:line="320" w:lineRule="exact"/>
        <w:ind w:firstLine="482"/>
        <w:rPr>
          <w:rFonts w:hint="eastAsia" w:ascii="Times New Roman" w:hAnsi="Times New Roman" w:eastAsia="宋体" w:cs="仿宋"/>
          <w:b/>
          <w:sz w:val="24"/>
          <w:lang w:eastAsia="zh-CN"/>
        </w:rPr>
      </w:pPr>
    </w:p>
    <w:p w14:paraId="3DE91EA6">
      <w:pPr>
        <w:keepNext w:val="0"/>
        <w:keepLines w:val="0"/>
        <w:pageBreakBefore w:val="0"/>
        <w:widowControl w:val="0"/>
        <w:spacing w:line="320" w:lineRule="exact"/>
        <w:ind w:firstLine="482"/>
        <w:rPr>
          <w:rFonts w:ascii="Times New Roman" w:hAnsi="Times New Roman" w:eastAsia="宋体" w:cs="仿宋"/>
          <w:b/>
          <w:sz w:val="24"/>
        </w:rPr>
      </w:pPr>
      <w:r>
        <w:rPr>
          <w:rFonts w:hint="eastAsia" w:ascii="Times New Roman" w:hAnsi="Times New Roman" w:eastAsia="宋体" w:cs="仿宋"/>
          <w:b/>
          <w:sz w:val="24"/>
          <w:lang w:eastAsia="zh-CN"/>
        </w:rPr>
        <w:t>（</w:t>
      </w:r>
      <w:r>
        <w:rPr>
          <w:rFonts w:hint="eastAsia" w:ascii="Times New Roman" w:hAnsi="Times New Roman" w:eastAsia="宋体" w:cs="仿宋"/>
          <w:b/>
          <w:sz w:val="24"/>
          <w:lang w:val="en-US" w:eastAsia="zh-CN"/>
        </w:rPr>
        <w:t>二</w:t>
      </w:r>
      <w:r>
        <w:rPr>
          <w:rFonts w:hint="eastAsia" w:ascii="Times New Roman" w:hAnsi="Times New Roman" w:eastAsia="宋体" w:cs="仿宋"/>
          <w:b/>
          <w:sz w:val="24"/>
          <w:lang w:eastAsia="zh-CN"/>
        </w:rPr>
        <w:t>）</w:t>
      </w:r>
      <w:r>
        <w:rPr>
          <w:rFonts w:hint="eastAsia" w:ascii="Times New Roman" w:hAnsi="Times New Roman" w:eastAsia="宋体" w:cs="仿宋"/>
          <w:b/>
          <w:sz w:val="24"/>
        </w:rPr>
        <w:t>定点机构考核评价，每季度组织考核1次。</w:t>
      </w:r>
    </w:p>
    <w:p w14:paraId="3A7B0007">
      <w:pPr>
        <w:keepNext w:val="0"/>
        <w:keepLines w:val="0"/>
        <w:pageBreakBefore w:val="0"/>
        <w:widowControl w:val="0"/>
        <w:spacing w:line="320" w:lineRule="exact"/>
        <w:ind w:firstLine="482"/>
        <w:rPr>
          <w:rFonts w:ascii="Times New Roman" w:hAnsi="Times New Roman" w:eastAsia="宋体" w:cs="仿宋"/>
          <w:sz w:val="24"/>
        </w:rPr>
      </w:pPr>
      <w:r>
        <w:rPr>
          <w:rFonts w:hint="eastAsia" w:ascii="Times New Roman" w:hAnsi="Times New Roman" w:eastAsia="宋体" w:cs="仿宋"/>
          <w:sz w:val="24"/>
          <w:lang w:val="en-US" w:eastAsia="zh-CN"/>
        </w:rPr>
        <w:t>1、</w:t>
      </w:r>
      <w:r>
        <w:rPr>
          <w:rFonts w:hint="eastAsia" w:ascii="Times New Roman" w:hAnsi="Times New Roman" w:eastAsia="宋体" w:cs="仿宋"/>
          <w:sz w:val="24"/>
        </w:rPr>
        <w:t>定点机构评估核查、信息备案、规范流程、档案管理、安全管理、动态调整等年度评价工作，由</w:t>
      </w:r>
      <w:r>
        <w:rPr>
          <w:rFonts w:hint="eastAsia" w:ascii="Times New Roman" w:hAnsi="Times New Roman" w:eastAsia="宋体" w:cs="仿宋"/>
          <w:sz w:val="24"/>
          <w:lang w:eastAsia="zh-CN"/>
        </w:rPr>
        <w:t>沭阳</w:t>
      </w:r>
      <w:r>
        <w:rPr>
          <w:rFonts w:hint="eastAsia" w:ascii="Times New Roman" w:hAnsi="Times New Roman" w:eastAsia="宋体" w:cs="仿宋"/>
          <w:sz w:val="24"/>
        </w:rPr>
        <w:t>县残疾人联合会会同县级教育、民政、财政、人社、医保、卫生健康等部门按照评估细则组织开展。</w:t>
      </w:r>
    </w:p>
    <w:p w14:paraId="36B00979">
      <w:pPr>
        <w:keepNext w:val="0"/>
        <w:keepLines w:val="0"/>
        <w:pageBreakBefore w:val="0"/>
        <w:widowControl w:val="0"/>
        <w:spacing w:line="320" w:lineRule="exact"/>
        <w:ind w:firstLine="482"/>
        <w:rPr>
          <w:rFonts w:ascii="Times New Roman" w:hAnsi="Times New Roman" w:eastAsia="宋体" w:cs="仿宋"/>
          <w:sz w:val="24"/>
        </w:rPr>
      </w:pPr>
      <w:r>
        <w:rPr>
          <w:rFonts w:hint="eastAsia" w:ascii="Times New Roman" w:hAnsi="Times New Roman" w:eastAsia="宋体" w:cs="仿宋"/>
          <w:sz w:val="24"/>
          <w:lang w:val="en-US" w:eastAsia="zh-CN"/>
        </w:rPr>
        <w:t>2、</w:t>
      </w:r>
      <w:r>
        <w:rPr>
          <w:rFonts w:hint="eastAsia" w:ascii="Times New Roman" w:hAnsi="Times New Roman" w:eastAsia="宋体" w:cs="仿宋"/>
          <w:sz w:val="24"/>
        </w:rPr>
        <w:t>定点机构性质、法人代表、执业地点、执业范围、业务项目发生变动，应向</w:t>
      </w:r>
      <w:r>
        <w:rPr>
          <w:rFonts w:hint="eastAsia" w:ascii="Times New Roman" w:hAnsi="Times New Roman" w:eastAsia="宋体" w:cs="仿宋"/>
          <w:sz w:val="24"/>
          <w:lang w:val="en-US" w:eastAsia="zh-CN"/>
        </w:rPr>
        <w:t>沭阳</w:t>
      </w:r>
      <w:r>
        <w:rPr>
          <w:rFonts w:hint="eastAsia" w:ascii="Times New Roman" w:hAnsi="Times New Roman" w:eastAsia="宋体" w:cs="仿宋"/>
          <w:sz w:val="24"/>
        </w:rPr>
        <w:t>县残疾人联合会报备，并在变动之日起1个月内接受重新评估。</w:t>
      </w:r>
    </w:p>
    <w:p w14:paraId="5BDC6D58">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sz w:val="24"/>
          <w:lang w:val="en-US" w:eastAsia="zh-CN"/>
        </w:rPr>
        <w:t>3、</w:t>
      </w:r>
      <w:r>
        <w:rPr>
          <w:rFonts w:hint="eastAsia" w:ascii="Times New Roman" w:hAnsi="Times New Roman" w:eastAsia="宋体" w:cs="仿宋"/>
          <w:sz w:val="24"/>
        </w:rPr>
        <w:t>定点机构年度</w:t>
      </w:r>
      <w:r>
        <w:rPr>
          <w:rFonts w:hint="eastAsia" w:ascii="Times New Roman" w:hAnsi="Times New Roman" w:eastAsia="宋体" w:cs="仿宋"/>
          <w:color w:val="000000"/>
          <w:sz w:val="24"/>
        </w:rPr>
        <w:t>评估不合格或存在违规（法）行为的，依据《江苏省残疾儿童基本康复服务管理暂行办法》</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lang w:val="en-US" w:eastAsia="zh-CN"/>
        </w:rPr>
        <w:t>苏残发〔2020〕23号</w:t>
      </w:r>
      <w:r>
        <w:rPr>
          <w:rFonts w:hint="eastAsia" w:ascii="Times New Roman" w:hAnsi="Times New Roman" w:eastAsia="宋体" w:cs="仿宋"/>
          <w:color w:val="000000"/>
          <w:sz w:val="24"/>
          <w:lang w:eastAsia="zh-CN"/>
        </w:rPr>
        <w:t>）、</w:t>
      </w:r>
      <w:r>
        <w:rPr>
          <w:rFonts w:hint="eastAsia" w:ascii="Times New Roman" w:hAnsi="Times New Roman" w:eastAsia="宋体" w:cs="仿宋"/>
          <w:color w:val="000000"/>
          <w:sz w:val="24"/>
        </w:rPr>
        <w:t>《宿迁市残疾儿童定点康复机构绩效考核办法和细则》，给予相应处罚。</w:t>
      </w:r>
    </w:p>
    <w:p w14:paraId="4FAAA1E1">
      <w:pPr>
        <w:keepNext w:val="0"/>
        <w:keepLines w:val="0"/>
        <w:pageBreakBefore w:val="0"/>
        <w:widowControl w:val="0"/>
        <w:spacing w:line="320" w:lineRule="exact"/>
        <w:ind w:firstLine="482"/>
        <w:rPr>
          <w:rFonts w:ascii="Times New Roman" w:hAnsi="Times New Roman" w:eastAsia="宋体" w:cs="仿宋"/>
          <w:sz w:val="24"/>
        </w:rPr>
      </w:pPr>
      <w:r>
        <w:rPr>
          <w:rFonts w:hint="eastAsia" w:ascii="Times New Roman" w:hAnsi="Times New Roman" w:eastAsia="宋体" w:cs="仿宋"/>
          <w:color w:val="000000"/>
          <w:sz w:val="24"/>
          <w:lang w:val="en-US" w:eastAsia="zh-CN"/>
        </w:rPr>
        <w:t>4.</w:t>
      </w:r>
      <w:r>
        <w:rPr>
          <w:rFonts w:hint="eastAsia" w:ascii="Times New Roman" w:hAnsi="Times New Roman" w:eastAsia="宋体" w:cs="仿宋"/>
          <w:color w:val="000000"/>
          <w:sz w:val="24"/>
        </w:rPr>
        <w:t>对存在以下问题的定点机构，一律解除服务合同，取消定点机构资格</w:t>
      </w:r>
      <w:r>
        <w:rPr>
          <w:rFonts w:hint="eastAsia" w:ascii="Times New Roman" w:hAnsi="Times New Roman" w:eastAsia="宋体" w:cs="仿宋"/>
          <w:sz w:val="24"/>
        </w:rPr>
        <w:t>：</w:t>
      </w:r>
    </w:p>
    <w:p w14:paraId="5FA128AB">
      <w:pPr>
        <w:keepNext w:val="0"/>
        <w:keepLines w:val="0"/>
        <w:pageBreakBefore w:val="0"/>
        <w:widowControl w:val="0"/>
        <w:spacing w:line="320" w:lineRule="exact"/>
        <w:ind w:firstLine="482"/>
        <w:rPr>
          <w:rFonts w:ascii="Times New Roman" w:hAnsi="Times New Roman" w:eastAsia="宋体" w:cs="仿宋"/>
          <w:sz w:val="24"/>
        </w:rPr>
      </w:pPr>
      <w:r>
        <w:rPr>
          <w:rFonts w:hint="eastAsia" w:ascii="Times New Roman" w:hAnsi="Times New Roman" w:eastAsia="宋体" w:cs="仿宋"/>
          <w:sz w:val="24"/>
        </w:rPr>
        <w:t>不按合同要求、自行降低服务标准的，不执行《江苏省残疾儿童基本康复服务实施规范（2023版）》和宿迁市、</w:t>
      </w:r>
      <w:r>
        <w:rPr>
          <w:rFonts w:hint="eastAsia" w:ascii="Times New Roman" w:hAnsi="Times New Roman" w:eastAsia="宋体" w:cs="仿宋"/>
          <w:sz w:val="24"/>
          <w:lang w:eastAsia="zh-CN"/>
        </w:rPr>
        <w:t>沭阳</w:t>
      </w:r>
      <w:r>
        <w:rPr>
          <w:rFonts w:hint="eastAsia" w:ascii="Times New Roman" w:hAnsi="Times New Roman" w:eastAsia="宋体" w:cs="仿宋"/>
          <w:sz w:val="24"/>
        </w:rPr>
        <w:t>县地方技术标准的，两次告诫或通报批评后仍不改正的；或发生严重安全及重大责任事故的机构，解除服务合同，取消定点康复机构资格。</w:t>
      </w:r>
    </w:p>
    <w:p w14:paraId="681E6D1F">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按照绩效考核，年度考核不合格的，且不完成限期整改的；</w:t>
      </w:r>
    </w:p>
    <w:p w14:paraId="2ECAA98B">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弄虚作假，开具假证明、假服务记录、假票据等行为套取政府购买服务资金的，限期整改并退回套取资金，情节严重涉嫌犯罪的，移送司法机关依法处理。</w:t>
      </w:r>
    </w:p>
    <w:p w14:paraId="17E1DCFE">
      <w:pPr>
        <w:keepNext w:val="0"/>
        <w:keepLines w:val="0"/>
        <w:pageBreakBefore w:val="0"/>
        <w:widowControl w:val="0"/>
        <w:spacing w:line="320" w:lineRule="exact"/>
        <w:ind w:firstLine="482"/>
        <w:rPr>
          <w:rFonts w:hint="eastAsia" w:ascii="Times New Roman" w:hAnsi="Times New Roman" w:eastAsia="宋体" w:cs="仿宋"/>
          <w:b/>
          <w:color w:val="000000"/>
          <w:sz w:val="24"/>
          <w:lang w:eastAsia="zh-CN"/>
        </w:rPr>
      </w:pPr>
    </w:p>
    <w:p w14:paraId="4A616263">
      <w:pPr>
        <w:keepNext w:val="0"/>
        <w:keepLines w:val="0"/>
        <w:pageBreakBefore w:val="0"/>
        <w:widowControl w:val="0"/>
        <w:spacing w:line="320" w:lineRule="exact"/>
        <w:ind w:firstLine="482"/>
        <w:rPr>
          <w:rFonts w:ascii="Times New Roman" w:hAnsi="Times New Roman" w:eastAsia="宋体" w:cs="仿宋"/>
          <w:b/>
          <w:color w:val="000000"/>
          <w:sz w:val="24"/>
        </w:rPr>
      </w:pPr>
      <w:r>
        <w:rPr>
          <w:rFonts w:hint="eastAsia" w:ascii="Times New Roman" w:hAnsi="Times New Roman" w:eastAsia="宋体" w:cs="仿宋"/>
          <w:b/>
          <w:color w:val="000000"/>
          <w:sz w:val="24"/>
          <w:lang w:eastAsia="zh-CN"/>
        </w:rPr>
        <w:t>（</w:t>
      </w:r>
      <w:r>
        <w:rPr>
          <w:rFonts w:hint="eastAsia" w:ascii="Times New Roman" w:hAnsi="Times New Roman" w:eastAsia="宋体" w:cs="仿宋"/>
          <w:b/>
          <w:color w:val="000000"/>
          <w:sz w:val="24"/>
          <w:lang w:val="en-US" w:eastAsia="zh-CN"/>
        </w:rPr>
        <w:t>三</w:t>
      </w:r>
      <w:r>
        <w:rPr>
          <w:rFonts w:hint="eastAsia" w:ascii="Times New Roman" w:hAnsi="Times New Roman" w:eastAsia="宋体" w:cs="仿宋"/>
          <w:b/>
          <w:color w:val="000000"/>
          <w:sz w:val="24"/>
          <w:lang w:eastAsia="zh-CN"/>
        </w:rPr>
        <w:t>）</w:t>
      </w:r>
      <w:r>
        <w:rPr>
          <w:rFonts w:hint="eastAsia" w:ascii="Times New Roman" w:hAnsi="Times New Roman" w:eastAsia="宋体" w:cs="仿宋"/>
          <w:b/>
          <w:color w:val="000000"/>
          <w:sz w:val="24"/>
        </w:rPr>
        <w:t>绩效评价与考核结果运用：</w:t>
      </w:r>
    </w:p>
    <w:p w14:paraId="26B2235B">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1、</w:t>
      </w:r>
      <w:r>
        <w:rPr>
          <w:rFonts w:hint="eastAsia" w:ascii="Times New Roman" w:hAnsi="Times New Roman" w:eastAsia="宋体" w:cs="仿宋"/>
          <w:color w:val="000000"/>
          <w:sz w:val="24"/>
        </w:rPr>
        <w:t>按照财政资金绩效评价相关规定开展，由</w:t>
      </w:r>
      <w:r>
        <w:rPr>
          <w:rFonts w:hint="eastAsia" w:ascii="Times New Roman" w:hAnsi="Times New Roman" w:eastAsia="宋体" w:cs="仿宋"/>
          <w:color w:val="000000"/>
          <w:sz w:val="24"/>
          <w:lang w:eastAsia="zh-CN"/>
        </w:rPr>
        <w:t>沭阳</w:t>
      </w:r>
      <w:r>
        <w:rPr>
          <w:rFonts w:hint="eastAsia" w:ascii="Times New Roman" w:hAnsi="Times New Roman" w:eastAsia="宋体" w:cs="仿宋"/>
          <w:color w:val="000000"/>
          <w:sz w:val="24"/>
        </w:rPr>
        <w:t>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000000"/>
          <w:sz w:val="24"/>
          <w:lang w:eastAsia="zh-CN"/>
        </w:rPr>
        <w:t>沭阳</w:t>
      </w:r>
      <w:r>
        <w:rPr>
          <w:rFonts w:hint="eastAsia" w:ascii="Times New Roman" w:hAnsi="Times New Roman" w:eastAsia="宋体" w:cs="仿宋"/>
          <w:color w:val="000000"/>
          <w:sz w:val="24"/>
        </w:rPr>
        <w:t>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p>
    <w:p w14:paraId="295AB321">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附件1、省残联等六部门关于印发《江苏省残疾儿童基本康复服务管理暂行办法》的通知（苏残发〔2020〕23 号）</w:t>
      </w:r>
    </w:p>
    <w:p w14:paraId="6CD5CF29">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附件2、省残联等四部门关于印发《江苏省残疾儿童基本康复服务实施规范（2023版）》的通知（苏残规〔2023〕1 号）</w:t>
      </w:r>
    </w:p>
    <w:p w14:paraId="674974B2">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附件3、市残联等四部门关于印发《宿迁市残疾儿童基本康复服务实施规范(2024年版)》的通知（宿残联发〔2024〕11号）</w:t>
      </w:r>
    </w:p>
    <w:p w14:paraId="7DF6990E">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注：以上附件，供应商须遵照和执行（如果有新文件，按照最新文件执行）。</w:t>
      </w:r>
    </w:p>
    <w:p w14:paraId="1D05F801">
      <w:pPr>
        <w:keepNext w:val="0"/>
        <w:keepLines w:val="0"/>
        <w:pageBreakBefore w:val="0"/>
        <w:widowControl w:val="0"/>
        <w:spacing w:line="320" w:lineRule="exact"/>
        <w:ind w:firstLine="482"/>
        <w:rPr>
          <w:rFonts w:hint="eastAsia" w:ascii="Times New Roman" w:hAnsi="Times New Roman" w:eastAsia="宋体" w:cs="仿宋"/>
          <w:b/>
          <w:color w:val="000000"/>
          <w:sz w:val="24"/>
          <w:lang w:val="en-US" w:eastAsia="zh-CN"/>
        </w:rPr>
      </w:pPr>
    </w:p>
    <w:p w14:paraId="4B216C5D">
      <w:pPr>
        <w:keepNext w:val="0"/>
        <w:keepLines w:val="0"/>
        <w:pageBreakBefore w:val="0"/>
        <w:widowControl w:val="0"/>
        <w:spacing w:line="320" w:lineRule="exact"/>
        <w:ind w:firstLine="482"/>
        <w:rPr>
          <w:rFonts w:ascii="Times New Roman" w:hAnsi="Times New Roman" w:eastAsia="宋体" w:cs="仿宋"/>
          <w:b/>
          <w:bCs/>
          <w:color w:val="000000"/>
          <w:sz w:val="24"/>
          <w:lang w:val="en-US" w:eastAsia="zh-CN"/>
        </w:rPr>
      </w:pPr>
      <w:r>
        <w:rPr>
          <w:rFonts w:hint="eastAsia" w:ascii="Times New Roman" w:hAnsi="Times New Roman" w:eastAsia="宋体" w:cs="仿宋"/>
          <w:b/>
          <w:color w:val="000000"/>
          <w:sz w:val="24"/>
          <w:lang w:val="en-US" w:eastAsia="zh-CN"/>
        </w:rPr>
        <w:t>五、</w:t>
      </w:r>
      <w:r>
        <w:rPr>
          <w:rFonts w:hint="eastAsia" w:ascii="Times New Roman" w:hAnsi="Times New Roman" w:eastAsia="宋体" w:cs="仿宋"/>
          <w:b/>
          <w:bCs/>
          <w:color w:val="000000"/>
          <w:sz w:val="24"/>
          <w:lang w:val="en-US" w:eastAsia="zh-CN"/>
        </w:rPr>
        <w:t>其它</w:t>
      </w:r>
    </w:p>
    <w:p w14:paraId="733F0425">
      <w:pPr>
        <w:keepNext w:val="0"/>
        <w:keepLines w:val="0"/>
        <w:pageBreakBefore w:val="0"/>
        <w:widowControl w:val="0"/>
        <w:spacing w:line="320" w:lineRule="exact"/>
        <w:ind w:firstLine="482"/>
        <w:rPr>
          <w:rFonts w:hint="eastAsia" w:ascii="Times New Roman" w:hAnsi="Times New Roman" w:eastAsia="宋体" w:cs="仿宋"/>
          <w:color w:val="000000"/>
          <w:sz w:val="24"/>
        </w:rPr>
      </w:pPr>
      <w:r>
        <w:rPr>
          <w:rFonts w:hint="eastAsia" w:ascii="Times New Roman" w:hAnsi="Times New Roman" w:eastAsia="宋体" w:cs="仿宋"/>
          <w:color w:val="000000"/>
          <w:sz w:val="24"/>
        </w:rPr>
        <w:t>1、</w:t>
      </w:r>
      <w:r>
        <w:rPr>
          <w:rFonts w:ascii="Times New Roman" w:hAnsi="Times New Roman" w:eastAsia="宋体" w:cs="仿宋"/>
          <w:color w:val="000000"/>
          <w:sz w:val="24"/>
        </w:rPr>
        <w:t>本项目</w:t>
      </w:r>
      <w:r>
        <w:rPr>
          <w:rFonts w:hint="eastAsia" w:ascii="Times New Roman" w:hAnsi="Times New Roman" w:eastAsia="宋体" w:cs="仿宋"/>
          <w:color w:val="000000"/>
          <w:sz w:val="24"/>
        </w:rPr>
        <w:t>采用固定价，投标人无需进行报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000000"/>
          <w:sz w:val="24"/>
          <w:lang w:val="en-US" w:eastAsia="zh-CN"/>
        </w:rPr>
        <w:t>用等所有与本项目关联的一切费用；必须包括合同项目成本费、税费及其他不</w:t>
      </w:r>
      <w:r>
        <w:rPr>
          <w:rFonts w:hint="eastAsia" w:ascii="Times New Roman" w:hAnsi="Times New Roman" w:eastAsia="宋体" w:cs="仿宋"/>
          <w:color w:val="000000"/>
          <w:sz w:val="24"/>
        </w:rPr>
        <w:t>可预见费等全部费用。</w:t>
      </w:r>
    </w:p>
    <w:p w14:paraId="473E714A">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2、供应商投标时应充分考虑所有可能影响到后期服务的因素，自行踏勘了解，因勘察不足或不全面，导致投标人投标和经营管理产生的风险由投标人自行承担。一旦最终中标，单价将包定，不予调整。</w:t>
      </w:r>
    </w:p>
    <w:p w14:paraId="44709AA5">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3、</w:t>
      </w:r>
      <w:r>
        <w:rPr>
          <w:rFonts w:hint="eastAsia" w:ascii="Times New Roman" w:hAnsi="Times New Roman" w:eastAsia="宋体" w:cs="仿宋"/>
          <w:color w:val="000000"/>
          <w:sz w:val="24"/>
          <w:lang w:val="en-US" w:eastAsia="zh-CN"/>
        </w:rPr>
        <w:t>中标后，中标供应商自行负责为完成本项目而提供的对应人员工资及其他相关费用。</w:t>
      </w:r>
    </w:p>
    <w:p w14:paraId="782D68BD">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4、重要指标：招标文件在采购需求中列出了采购人可以接受的最低服务指标，投标供应商必须对服务要求中各项服务和指标进行实质性响应，所推荐的每一项服务在性能上不能低于所列的各项指标。</w:t>
      </w:r>
    </w:p>
    <w:p w14:paraId="60F70F4C">
      <w:pPr>
        <w:keepNext w:val="0"/>
        <w:keepLines w:val="0"/>
        <w:pageBreakBefore w:val="0"/>
        <w:widowControl w:val="0"/>
        <w:spacing w:line="32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注：以上与本项目关联的人员及其他配置安排，均须满足本项目功能服务需求和采购人需求。</w:t>
      </w:r>
    </w:p>
    <w:p w14:paraId="005BB9B0">
      <w:pPr>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5、保险要求：供应商应为在训儿童购买意外伤害保险或公众责任险。</w:t>
      </w:r>
    </w:p>
    <w:p w14:paraId="19DB1FBF">
      <w:pPr>
        <w:rPr>
          <w:rFonts w:eastAsia="宋体" w:cs="Times New Roman"/>
          <w:color w:val="000000"/>
        </w:rPr>
      </w:pPr>
    </w:p>
    <w:p w14:paraId="02735DAF">
      <w:pPr>
        <w:bidi w:val="0"/>
        <w:rPr>
          <w:rFonts w:hint="eastAsia"/>
        </w:rPr>
      </w:pPr>
    </w:p>
    <w:p w14:paraId="3894137F">
      <w:pPr>
        <w:bidi w:val="0"/>
        <w:rPr>
          <w:rFonts w:hint="eastAsia"/>
        </w:rPr>
      </w:pPr>
    </w:p>
    <w:p w14:paraId="6ACADE6A">
      <w:pPr>
        <w:bidi w:val="0"/>
        <w:rPr>
          <w:rFonts w:hint="eastAsia"/>
        </w:rPr>
      </w:pPr>
    </w:p>
    <w:p w14:paraId="26856119">
      <w:pPr>
        <w:bidi w:val="0"/>
        <w:rPr>
          <w:rFonts w:hint="eastAsia"/>
        </w:rPr>
      </w:pPr>
    </w:p>
    <w:p w14:paraId="6B3D6424">
      <w:pPr>
        <w:bidi w:val="0"/>
        <w:rPr>
          <w:rFonts w:hint="eastAsia"/>
        </w:rPr>
      </w:pPr>
    </w:p>
    <w:p w14:paraId="63B5BE5D">
      <w:pPr>
        <w:bidi w:val="0"/>
        <w:rPr>
          <w:rFonts w:hint="eastAsia"/>
        </w:rPr>
      </w:pPr>
    </w:p>
    <w:p w14:paraId="7CB6E1A4">
      <w:pPr>
        <w:bidi w:val="0"/>
        <w:rPr>
          <w:rFonts w:hint="eastAsia"/>
        </w:rPr>
      </w:pPr>
    </w:p>
    <w:p w14:paraId="4C5B4F6B">
      <w:pPr>
        <w:bidi w:val="0"/>
        <w:rPr>
          <w:rFonts w:hint="eastAsia"/>
        </w:rPr>
      </w:pPr>
    </w:p>
    <w:p w14:paraId="501A829B">
      <w:pPr>
        <w:bidi w:val="0"/>
        <w:rPr>
          <w:rFonts w:hint="eastAsia"/>
        </w:rPr>
      </w:pPr>
    </w:p>
    <w:p w14:paraId="35E02C64">
      <w:pPr>
        <w:bidi w:val="0"/>
        <w:rPr>
          <w:rFonts w:hint="eastAsia"/>
        </w:rPr>
      </w:pPr>
    </w:p>
    <w:p w14:paraId="010A92B5">
      <w:pPr>
        <w:bidi w:val="0"/>
        <w:rPr>
          <w:rFonts w:hint="eastAsia"/>
        </w:rPr>
      </w:pPr>
    </w:p>
    <w:p w14:paraId="51EB349D">
      <w:pPr>
        <w:bidi w:val="0"/>
        <w:rPr>
          <w:rFonts w:hint="eastAsia"/>
        </w:rPr>
      </w:pPr>
    </w:p>
    <w:p w14:paraId="752AED19">
      <w:pPr>
        <w:bidi w:val="0"/>
        <w:rPr>
          <w:rFonts w:hint="eastAsia"/>
        </w:rPr>
      </w:pPr>
    </w:p>
    <w:p w14:paraId="58C3B3D5">
      <w:pPr>
        <w:bidi w:val="0"/>
        <w:rPr>
          <w:rFonts w:hint="eastAsia"/>
        </w:rPr>
      </w:pPr>
    </w:p>
    <w:p w14:paraId="6D5B5CC5">
      <w:pPr>
        <w:bidi w:val="0"/>
        <w:rPr>
          <w:rFonts w:hint="eastAsia"/>
        </w:rPr>
      </w:pPr>
    </w:p>
    <w:p w14:paraId="09077388">
      <w:pPr>
        <w:bidi w:val="0"/>
        <w:rPr>
          <w:rFonts w:hint="eastAsia"/>
        </w:rPr>
      </w:pPr>
    </w:p>
    <w:p w14:paraId="4C8C0821">
      <w:pPr>
        <w:bidi w:val="0"/>
        <w:rPr>
          <w:rFonts w:hint="eastAsia"/>
        </w:rPr>
      </w:pPr>
    </w:p>
    <w:p w14:paraId="5EEAC853">
      <w:pPr>
        <w:bidi w:val="0"/>
        <w:rPr>
          <w:rFonts w:hint="eastAsia"/>
        </w:rPr>
      </w:pPr>
    </w:p>
    <w:p w14:paraId="245DB9CE">
      <w:pPr>
        <w:bidi w:val="0"/>
        <w:rPr>
          <w:rFonts w:hint="eastAsia"/>
        </w:rPr>
      </w:pPr>
    </w:p>
    <w:p w14:paraId="23BD0E7C">
      <w:pPr>
        <w:bidi w:val="0"/>
        <w:rPr>
          <w:rFonts w:hint="eastAsia"/>
        </w:rPr>
      </w:pPr>
    </w:p>
    <w:p w14:paraId="15EFF277">
      <w:pPr>
        <w:bidi w:val="0"/>
        <w:rPr>
          <w:rFonts w:hint="eastAsia"/>
        </w:rPr>
      </w:pPr>
    </w:p>
    <w:p w14:paraId="102FF783">
      <w:pPr>
        <w:bidi w:val="0"/>
        <w:rPr>
          <w:rFonts w:hint="eastAsia"/>
        </w:rPr>
      </w:pPr>
    </w:p>
    <w:p w14:paraId="5DC91777">
      <w:pPr>
        <w:bidi w:val="0"/>
        <w:rPr>
          <w:rFonts w:hint="eastAsia"/>
        </w:rPr>
      </w:pPr>
    </w:p>
    <w:p w14:paraId="777C31F0">
      <w:pPr>
        <w:bidi w:val="0"/>
        <w:rPr>
          <w:rFonts w:hint="eastAsia"/>
        </w:rPr>
      </w:pPr>
    </w:p>
    <w:p w14:paraId="20521F45">
      <w:pPr>
        <w:bidi w:val="0"/>
        <w:rPr>
          <w:rFonts w:hint="eastAsia"/>
        </w:rPr>
      </w:pPr>
    </w:p>
    <w:p w14:paraId="0CFC0035">
      <w:pPr>
        <w:keepNext/>
        <w:ind w:firstLine="2640"/>
        <w:outlineLvl w:val="0"/>
        <w:rPr>
          <w:rFonts w:hint="eastAsia" w:ascii="宋体" w:hAnsi="宋体" w:eastAsia="宋体" w:cs="宋体"/>
          <w:b/>
          <w:bCs/>
          <w:color w:val="auto"/>
          <w:sz w:val="44"/>
          <w:szCs w:val="44"/>
          <w:highlight w:val="none"/>
        </w:rPr>
      </w:pPr>
    </w:p>
    <w:p w14:paraId="6D56D4BE">
      <w:pPr>
        <w:keepNext/>
        <w:ind w:firstLine="2640"/>
        <w:outlineLvl w:val="0"/>
        <w:rPr>
          <w:rFonts w:hint="eastAsia" w:ascii="宋体" w:hAnsi="宋体" w:eastAsia="宋体" w:cs="宋体"/>
          <w:b/>
          <w:bCs/>
          <w:color w:val="auto"/>
          <w:sz w:val="44"/>
          <w:szCs w:val="44"/>
          <w:highlight w:val="none"/>
        </w:rPr>
      </w:pPr>
    </w:p>
    <w:p w14:paraId="50AF3CD4">
      <w:pPr>
        <w:keepNext/>
        <w:ind w:firstLine="2640"/>
        <w:outlineLvl w:val="0"/>
        <w:rPr>
          <w:rFonts w:hint="eastAsia" w:ascii="宋体" w:hAnsi="宋体" w:eastAsia="宋体" w:cs="宋体"/>
          <w:b/>
          <w:bCs/>
          <w:color w:val="auto"/>
          <w:sz w:val="44"/>
          <w:szCs w:val="44"/>
          <w:highlight w:val="none"/>
        </w:rPr>
      </w:pPr>
    </w:p>
    <w:p w14:paraId="4AC3A7FD">
      <w:pPr>
        <w:keepNext/>
        <w:ind w:firstLine="2640"/>
        <w:outlineLvl w:val="0"/>
        <w:rPr>
          <w:rFonts w:hint="eastAsia" w:ascii="宋体" w:hAnsi="宋体" w:eastAsia="宋体" w:cs="宋体"/>
          <w:bCs/>
          <w:color w:val="auto"/>
          <w:sz w:val="44"/>
          <w:szCs w:val="28"/>
          <w:highlight w:val="none"/>
        </w:rPr>
      </w:pPr>
      <w:r>
        <w:rPr>
          <w:rFonts w:hint="eastAsia" w:ascii="宋体" w:hAnsi="宋体" w:eastAsia="宋体" w:cs="宋体"/>
          <w:b/>
          <w:bCs/>
          <w:color w:val="auto"/>
          <w:sz w:val="44"/>
          <w:szCs w:val="44"/>
          <w:highlight w:val="none"/>
        </w:rPr>
        <w:t>第</w:t>
      </w:r>
      <w:r>
        <w:rPr>
          <w:rFonts w:hint="eastAsia" w:ascii="宋体" w:hAnsi="宋体" w:cs="宋体"/>
          <w:b/>
          <w:bCs/>
          <w:color w:val="auto"/>
          <w:sz w:val="44"/>
          <w:szCs w:val="44"/>
          <w:highlight w:val="none"/>
          <w:lang w:val="en-US" w:eastAsia="zh-CN"/>
        </w:rPr>
        <w:t>四</w:t>
      </w:r>
      <w:r>
        <w:rPr>
          <w:rFonts w:hint="eastAsia" w:ascii="宋体" w:hAnsi="宋体" w:eastAsia="宋体" w:cs="宋体"/>
          <w:b/>
          <w:bCs/>
          <w:color w:val="auto"/>
          <w:sz w:val="44"/>
          <w:szCs w:val="44"/>
          <w:highlight w:val="none"/>
        </w:rPr>
        <w:t>章  合同</w:t>
      </w:r>
      <w:bookmarkEnd w:id="151"/>
      <w:bookmarkEnd w:id="152"/>
      <w:bookmarkEnd w:id="153"/>
      <w:bookmarkEnd w:id="154"/>
      <w:bookmarkEnd w:id="155"/>
      <w:r>
        <w:rPr>
          <w:rFonts w:hint="eastAsia" w:ascii="宋体" w:hAnsi="宋体" w:eastAsia="宋体" w:cs="宋体"/>
          <w:b/>
          <w:bCs/>
          <w:color w:val="auto"/>
          <w:sz w:val="44"/>
          <w:szCs w:val="44"/>
          <w:highlight w:val="none"/>
        </w:rPr>
        <w:t>文本</w:t>
      </w:r>
    </w:p>
    <w:p w14:paraId="7F509654">
      <w:pPr>
        <w:widowControl w:val="0"/>
        <w:jc w:val="center"/>
        <w:rPr>
          <w:rFonts w:hint="eastAsia" w:ascii="宋体" w:hAnsi="宋体" w:eastAsia="宋体" w:cs="宋体"/>
          <w:b/>
          <w:bCs/>
          <w:color w:val="auto"/>
          <w:spacing w:val="0"/>
          <w:sz w:val="36"/>
          <w:szCs w:val="36"/>
          <w:highlight w:val="none"/>
          <w:lang w:val="en-US" w:eastAsia="zh-CN" w:bidi="ar-SA"/>
        </w:rPr>
      </w:pPr>
      <w:bookmarkStart w:id="156" w:name="_Toc16938590"/>
      <w:bookmarkStart w:id="157" w:name="_Toc120614244"/>
      <w:bookmarkStart w:id="158" w:name="_Toc20823346"/>
      <w:bookmarkStart w:id="159" w:name="_Hlt16619350"/>
      <w:bookmarkStart w:id="160" w:name="_Toc479757211"/>
      <w:bookmarkStart w:id="161" w:name="_Toc462564139"/>
    </w:p>
    <w:p w14:paraId="7A9C43C9">
      <w:pPr>
        <w:widowControl w:val="0"/>
        <w:jc w:val="center"/>
        <w:rPr>
          <w:rFonts w:hint="eastAsia" w:ascii="宋体" w:hAnsi="宋体" w:eastAsia="宋体" w:cs="宋体"/>
          <w:b/>
          <w:bCs/>
          <w:color w:val="auto"/>
          <w:spacing w:val="0"/>
          <w:sz w:val="36"/>
          <w:szCs w:val="36"/>
          <w:highlight w:val="none"/>
          <w:lang w:val="en-US" w:eastAsia="zh-CN" w:bidi="ar-SA"/>
        </w:rPr>
      </w:pPr>
    </w:p>
    <w:p w14:paraId="30AFBA84">
      <w:pPr>
        <w:widowControl w:val="0"/>
        <w:jc w:val="center"/>
        <w:rPr>
          <w:rFonts w:hint="eastAsia" w:ascii="宋体" w:hAnsi="宋体" w:eastAsia="宋体" w:cs="宋体"/>
          <w:b/>
          <w:bCs/>
          <w:color w:val="auto"/>
          <w:spacing w:val="0"/>
          <w:sz w:val="32"/>
          <w:szCs w:val="32"/>
          <w:highlight w:val="none"/>
          <w:lang w:val="en-US" w:eastAsia="zh-CN" w:bidi="ar-SA"/>
        </w:rPr>
      </w:pPr>
    </w:p>
    <w:p w14:paraId="0254F54E">
      <w:pPr>
        <w:widowControl w:val="0"/>
        <w:jc w:val="center"/>
        <w:rPr>
          <w:rFonts w:hint="eastAsia" w:ascii="宋体" w:hAnsi="宋体" w:eastAsia="宋体" w:cs="宋体"/>
          <w:b/>
          <w:bCs/>
          <w:color w:val="auto"/>
          <w:spacing w:val="0"/>
          <w:sz w:val="32"/>
          <w:szCs w:val="32"/>
          <w:highlight w:val="none"/>
          <w:lang w:val="en-US" w:eastAsia="zh-CN" w:bidi="ar-SA"/>
        </w:rPr>
      </w:pPr>
    </w:p>
    <w:p w14:paraId="096CD3A1">
      <w:pPr>
        <w:widowControl w:val="0"/>
        <w:jc w:val="center"/>
        <w:rPr>
          <w:rFonts w:hint="eastAsia" w:ascii="宋体" w:hAnsi="宋体" w:eastAsia="宋体" w:cs="宋体"/>
          <w:b/>
          <w:bCs/>
          <w:color w:val="auto"/>
          <w:spacing w:val="0"/>
          <w:sz w:val="32"/>
          <w:szCs w:val="32"/>
          <w:highlight w:val="none"/>
          <w:lang w:val="en-US" w:eastAsia="zh-CN" w:bidi="ar-SA"/>
        </w:rPr>
      </w:pPr>
    </w:p>
    <w:p w14:paraId="37A0944D">
      <w:pPr>
        <w:widowControl w:val="0"/>
        <w:jc w:val="center"/>
        <w:rPr>
          <w:rFonts w:hint="eastAsia" w:ascii="宋体" w:hAnsi="宋体" w:eastAsia="宋体" w:cs="宋体"/>
          <w:b/>
          <w:bCs/>
          <w:color w:val="auto"/>
          <w:spacing w:val="0"/>
          <w:sz w:val="36"/>
          <w:szCs w:val="36"/>
          <w:highlight w:val="none"/>
          <w:lang w:val="en-US" w:eastAsia="zh-CN" w:bidi="ar-SA"/>
        </w:rPr>
      </w:pPr>
      <w:r>
        <w:rPr>
          <w:rFonts w:hint="eastAsia" w:ascii="宋体" w:hAnsi="宋体" w:eastAsia="宋体" w:cs="宋体"/>
          <w:b/>
          <w:bCs/>
          <w:color w:val="auto"/>
          <w:spacing w:val="0"/>
          <w:sz w:val="36"/>
          <w:szCs w:val="36"/>
          <w:highlight w:val="none"/>
          <w:lang w:val="en-US" w:eastAsia="zh-CN" w:bidi="ar-SA"/>
        </w:rPr>
        <w:t>政府采购合同</w:t>
      </w:r>
    </w:p>
    <w:p w14:paraId="0EAA9E58">
      <w:pPr>
        <w:widowControl w:val="0"/>
        <w:jc w:val="center"/>
        <w:rPr>
          <w:rFonts w:hint="default" w:ascii="宋体" w:hAnsi="宋体" w:eastAsia="宋体" w:cs="宋体"/>
          <w:b/>
          <w:bCs/>
          <w:color w:val="auto"/>
          <w:spacing w:val="-20"/>
          <w:sz w:val="32"/>
          <w:szCs w:val="32"/>
          <w:highlight w:val="none"/>
          <w:lang w:val="en-US" w:eastAsia="zh-CN" w:bidi="ar-SA"/>
        </w:rPr>
      </w:pPr>
    </w:p>
    <w:p w14:paraId="4B44AE4B">
      <w:pPr>
        <w:widowControl w:val="0"/>
        <w:jc w:val="center"/>
        <w:rPr>
          <w:rFonts w:hint="default" w:ascii="宋体" w:hAnsi="宋体" w:eastAsia="宋体" w:cs="宋体"/>
          <w:b/>
          <w:bCs/>
          <w:color w:val="auto"/>
          <w:spacing w:val="-20"/>
          <w:sz w:val="32"/>
          <w:szCs w:val="32"/>
          <w:highlight w:val="none"/>
          <w:lang w:val="en-US" w:eastAsia="zh-CN" w:bidi="ar-SA"/>
        </w:rPr>
      </w:pPr>
    </w:p>
    <w:p w14:paraId="5708A5D4">
      <w:pPr>
        <w:rPr>
          <w:rFonts w:ascii="宋体" w:hAnsi="宋体" w:cs="宋体"/>
          <w:b/>
          <w:bCs/>
          <w:color w:val="auto"/>
          <w:spacing w:val="-20"/>
          <w:sz w:val="40"/>
          <w:szCs w:val="40"/>
          <w:highlight w:val="none"/>
        </w:rPr>
      </w:pPr>
    </w:p>
    <w:p w14:paraId="617FFAE1">
      <w:pPr>
        <w:rPr>
          <w:rFonts w:ascii="宋体" w:hAnsi="宋体" w:cs="宋体"/>
          <w:b/>
          <w:bCs/>
          <w:color w:val="auto"/>
          <w:spacing w:val="-20"/>
          <w:sz w:val="40"/>
          <w:szCs w:val="40"/>
          <w:highlight w:val="none"/>
        </w:rPr>
      </w:pPr>
    </w:p>
    <w:p w14:paraId="4D5E08A2">
      <w:pPr>
        <w:rPr>
          <w:rFonts w:ascii="宋体" w:hAnsi="宋体" w:cs="宋体"/>
          <w:b/>
          <w:bCs/>
          <w:color w:val="auto"/>
          <w:spacing w:val="-20"/>
          <w:sz w:val="40"/>
          <w:szCs w:val="40"/>
          <w:highlight w:val="none"/>
        </w:rPr>
      </w:pPr>
    </w:p>
    <w:p w14:paraId="6B375104">
      <w:pPr>
        <w:spacing w:line="360" w:lineRule="auto"/>
        <w:ind w:left="420"/>
        <w:rPr>
          <w:rFonts w:hint="eastAsia"/>
          <w:color w:val="auto"/>
          <w:sz w:val="28"/>
          <w:szCs w:val="28"/>
          <w:highlight w:val="none"/>
        </w:rPr>
      </w:pPr>
    </w:p>
    <w:p w14:paraId="378CAEF5">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p>
    <w:p w14:paraId="309F2528">
      <w:pPr>
        <w:spacing w:line="360" w:lineRule="auto"/>
        <w:ind w:left="420"/>
        <w:rPr>
          <w:rFonts w:hint="eastAsia" w:eastAsia="宋体"/>
          <w:color w:val="auto"/>
          <w:sz w:val="28"/>
          <w:szCs w:val="28"/>
          <w:highlight w:val="none"/>
          <w:u w:val="none"/>
          <w:lang w:eastAsia="zh-CN"/>
        </w:rPr>
      </w:pPr>
      <w:r>
        <w:rPr>
          <w:rFonts w:hint="eastAsia"/>
          <w:color w:val="auto"/>
          <w:sz w:val="28"/>
          <w:szCs w:val="28"/>
          <w:highlight w:val="none"/>
        </w:rPr>
        <w:t>甲    方：</w:t>
      </w:r>
      <w:r>
        <w:rPr>
          <w:rFonts w:hint="eastAsia"/>
          <w:color w:val="auto"/>
          <w:sz w:val="28"/>
          <w:szCs w:val="28"/>
          <w:highlight w:val="none"/>
          <w:u w:val="single"/>
        </w:rPr>
        <w:t xml:space="preserve"> 沭阳县残疾人联合会              </w:t>
      </w:r>
      <w:r>
        <w:rPr>
          <w:rFonts w:hint="eastAsia" w:eastAsia="宋体"/>
          <w:color w:val="auto"/>
          <w:sz w:val="28"/>
          <w:szCs w:val="28"/>
          <w:highlight w:val="none"/>
          <w:u w:val="none"/>
          <w:lang w:eastAsia="zh-CN"/>
        </w:rPr>
        <w:t>（</w:t>
      </w:r>
      <w:r>
        <w:rPr>
          <w:rFonts w:hint="eastAsia" w:ascii="Calibri" w:eastAsia="宋体"/>
          <w:color w:val="auto"/>
          <w:sz w:val="28"/>
          <w:szCs w:val="28"/>
          <w:highlight w:val="none"/>
          <w:u w:val="none"/>
          <w:lang w:val="en-US" w:eastAsia="zh-CN"/>
        </w:rPr>
        <w:t>单位公章</w:t>
      </w:r>
      <w:r>
        <w:rPr>
          <w:rFonts w:hint="eastAsia" w:eastAsia="宋体"/>
          <w:color w:val="auto"/>
          <w:sz w:val="28"/>
          <w:szCs w:val="28"/>
          <w:highlight w:val="none"/>
          <w:u w:val="none"/>
          <w:lang w:eastAsia="zh-CN"/>
        </w:rPr>
        <w:t>）</w:t>
      </w:r>
    </w:p>
    <w:p w14:paraId="19C30AB3">
      <w:pPr>
        <w:spacing w:line="360" w:lineRule="auto"/>
        <w:ind w:left="420"/>
        <w:rPr>
          <w:rFonts w:hint="eastAsia" w:eastAsia="宋体"/>
          <w:color w:val="auto"/>
          <w:sz w:val="28"/>
          <w:szCs w:val="28"/>
          <w:highlight w:val="none"/>
          <w:u w:val="single"/>
          <w:lang w:eastAsia="zh-CN"/>
        </w:rPr>
      </w:pPr>
      <w:r>
        <w:rPr>
          <w:rFonts w:hint="eastAsia"/>
          <w:color w:val="auto"/>
          <w:sz w:val="28"/>
          <w:szCs w:val="28"/>
          <w:highlight w:val="none"/>
        </w:rPr>
        <w:t>乙    方：</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r>
        <w:rPr>
          <w:rFonts w:hint="eastAsia" w:eastAsia="宋体"/>
          <w:color w:val="auto"/>
          <w:sz w:val="28"/>
          <w:szCs w:val="28"/>
          <w:highlight w:val="none"/>
          <w:u w:val="none"/>
          <w:lang w:eastAsia="zh-CN"/>
        </w:rPr>
        <w:t>（</w:t>
      </w:r>
      <w:r>
        <w:rPr>
          <w:rFonts w:hint="eastAsia" w:ascii="Calibri" w:eastAsia="宋体"/>
          <w:color w:val="auto"/>
          <w:sz w:val="28"/>
          <w:szCs w:val="28"/>
          <w:highlight w:val="none"/>
          <w:u w:val="none"/>
          <w:lang w:val="en-US" w:eastAsia="zh-CN"/>
        </w:rPr>
        <w:t>单位公章</w:t>
      </w:r>
      <w:r>
        <w:rPr>
          <w:rFonts w:hint="eastAsia" w:eastAsia="宋体"/>
          <w:color w:val="auto"/>
          <w:sz w:val="28"/>
          <w:szCs w:val="28"/>
          <w:highlight w:val="none"/>
          <w:u w:val="none"/>
          <w:lang w:eastAsia="zh-CN"/>
        </w:rPr>
        <w:t>）</w:t>
      </w:r>
    </w:p>
    <w:p w14:paraId="645EBA22">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年    月    日</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14:paraId="2CF864D3">
      <w:pPr>
        <w:rPr>
          <w:color w:val="auto"/>
          <w:highlight w:val="none"/>
        </w:rPr>
      </w:pPr>
    </w:p>
    <w:p w14:paraId="706720C1">
      <w:pPr>
        <w:rPr>
          <w:rFonts w:eastAsia="黑体"/>
          <w:color w:val="auto"/>
          <w:sz w:val="44"/>
          <w:szCs w:val="44"/>
          <w:highlight w:val="none"/>
        </w:rPr>
      </w:pPr>
    </w:p>
    <w:p w14:paraId="5AF5B479">
      <w:pPr>
        <w:rPr>
          <w:rFonts w:eastAsia="黑体"/>
          <w:color w:val="auto"/>
          <w:sz w:val="44"/>
          <w:szCs w:val="44"/>
          <w:highlight w:val="none"/>
        </w:rPr>
      </w:pPr>
    </w:p>
    <w:p w14:paraId="11BCB1EF">
      <w:pPr>
        <w:rPr>
          <w:rFonts w:eastAsia="黑体"/>
          <w:color w:val="auto"/>
          <w:sz w:val="44"/>
          <w:szCs w:val="44"/>
          <w:highlight w:val="none"/>
        </w:rPr>
      </w:pPr>
    </w:p>
    <w:p w14:paraId="592009A4">
      <w:pPr>
        <w:rPr>
          <w:rFonts w:eastAsia="黑体"/>
          <w:color w:val="auto"/>
          <w:sz w:val="44"/>
          <w:szCs w:val="44"/>
          <w:highlight w:val="none"/>
        </w:rPr>
      </w:pPr>
    </w:p>
    <w:p w14:paraId="52944BC2">
      <w:pPr>
        <w:rPr>
          <w:rFonts w:eastAsia="黑体"/>
          <w:color w:val="auto"/>
          <w:sz w:val="44"/>
          <w:szCs w:val="44"/>
          <w:highlight w:val="none"/>
        </w:rPr>
      </w:pPr>
    </w:p>
    <w:p w14:paraId="4F9E4BC7">
      <w:pPr>
        <w:rPr>
          <w:rFonts w:eastAsia="黑体"/>
          <w:color w:val="auto"/>
          <w:sz w:val="44"/>
          <w:szCs w:val="44"/>
          <w:highlight w:val="none"/>
        </w:rPr>
      </w:pPr>
    </w:p>
    <w:p w14:paraId="1579A959">
      <w:pPr>
        <w:jc w:val="center"/>
        <w:rPr>
          <w:rFonts w:ascii="宋体" w:hAnsi="宋体"/>
          <w:color w:val="auto"/>
          <w:sz w:val="32"/>
          <w:szCs w:val="32"/>
          <w:highlight w:val="none"/>
        </w:rPr>
      </w:pPr>
    </w:p>
    <w:p w14:paraId="50647195">
      <w:pPr>
        <w:keepNext/>
        <w:keepLines/>
        <w:widowControl w:val="0"/>
        <w:spacing w:before="260" w:after="260" w:line="400" w:lineRule="exact"/>
        <w:jc w:val="center"/>
        <w:outlineLvl w:val="1"/>
        <w:rPr>
          <w:rFonts w:ascii="黑体" w:hAnsi="华文中宋" w:eastAsia="黑体" w:cs="Times New Roman"/>
          <w:b w:val="0"/>
          <w:color w:val="auto"/>
          <w:sz w:val="32"/>
          <w:szCs w:val="32"/>
          <w:highlight w:val="none"/>
          <w:lang w:val="en-US" w:eastAsia="zh-CN" w:bidi="ar-SA"/>
        </w:rPr>
      </w:pPr>
      <w:r>
        <w:rPr>
          <w:rFonts w:hint="eastAsia" w:ascii="黑体" w:hAnsi="华文中宋" w:eastAsia="黑体" w:cs="Times New Roman"/>
          <w:b w:val="0"/>
          <w:color w:val="auto"/>
          <w:sz w:val="32"/>
          <w:szCs w:val="32"/>
          <w:highlight w:val="none"/>
          <w:lang w:val="en-US" w:eastAsia="zh-CN" w:bidi="ar-SA"/>
        </w:rPr>
        <w:t>政府采购合同协议书</w:t>
      </w:r>
    </w:p>
    <w:p w14:paraId="1807854E">
      <w:pPr>
        <w:keepNext w:val="0"/>
        <w:keepLines w:val="0"/>
        <w:pageBreakBefore w:val="0"/>
        <w:widowControl w:val="0"/>
        <w:spacing w:line="380" w:lineRule="exact"/>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采购单位（全称）：</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0"/>
          <w:u w:val="single"/>
          <w:lang w:val="en-US" w:eastAsia="zh-CN" w:bidi="ar-SA"/>
        </w:rPr>
        <w:t>沭阳县残疾人联合会</w:t>
      </w:r>
      <w:r>
        <w:rPr>
          <w:rFonts w:hint="eastAsia" w:ascii="宋体" w:hAnsi="宋体" w:eastAsia="宋体" w:cs="宋体"/>
          <w:b/>
          <w:color w:val="auto"/>
          <w:sz w:val="24"/>
          <w:szCs w:val="24"/>
          <w:u w:val="single"/>
          <w:lang w:val="en-US" w:eastAsia="zh-CN" w:bidi="ar-SA"/>
        </w:rPr>
        <w:t xml:space="preserve"> </w:t>
      </w:r>
      <w:r>
        <w:rPr>
          <w:rFonts w:hint="eastAsia" w:ascii="宋体" w:hAnsi="宋体" w:cs="宋体"/>
          <w:b/>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4"/>
          <w:lang w:val="en-US" w:eastAsia="zh-CN" w:bidi="ar-SA"/>
        </w:rPr>
        <w:t>（简称甲方）</w:t>
      </w:r>
    </w:p>
    <w:p w14:paraId="180688FD">
      <w:pPr>
        <w:keepNext w:val="0"/>
        <w:keepLines w:val="0"/>
        <w:pageBreakBefore w:val="0"/>
        <w:widowControl w:val="0"/>
        <w:spacing w:before="156" w:line="380" w:lineRule="exact"/>
        <w:jc w:val="both"/>
        <w:rPr>
          <w:rFonts w:ascii="宋体" w:hAnsi="宋体" w:eastAsia="宋体" w:cs="宋体"/>
          <w:color w:val="auto"/>
          <w:sz w:val="24"/>
          <w:szCs w:val="20"/>
          <w:lang w:val="en-US" w:eastAsia="zh-CN" w:bidi="ar-SA"/>
        </w:rPr>
      </w:pPr>
      <w:r>
        <w:rPr>
          <w:rFonts w:hint="eastAsia" w:ascii="宋体" w:hAnsi="宋体" w:eastAsia="宋体" w:cs="宋体"/>
          <w:b/>
          <w:color w:val="auto"/>
          <w:sz w:val="24"/>
          <w:szCs w:val="20"/>
          <w:lang w:val="en-US" w:eastAsia="zh-CN" w:bidi="ar-SA"/>
        </w:rPr>
        <w:t>中标供应商（全称）：</w:t>
      </w:r>
      <w:r>
        <w:rPr>
          <w:rFonts w:hint="eastAsia" w:ascii="宋体" w:hAnsi="宋体" w:eastAsia="宋体" w:cs="宋体"/>
          <w:b/>
          <w:color w:val="auto"/>
          <w:sz w:val="24"/>
          <w:szCs w:val="20"/>
          <w:u w:val="single"/>
          <w:lang w:val="en-US" w:eastAsia="zh-CN" w:bidi="ar-SA"/>
        </w:rPr>
        <w:t xml:space="preserve"> </w:t>
      </w:r>
      <w:r>
        <w:rPr>
          <w:rFonts w:hint="eastAsia" w:ascii="宋体" w:hAnsi="宋体" w:cs="宋体"/>
          <w:b/>
          <w:color w:val="auto"/>
          <w:sz w:val="24"/>
          <w:szCs w:val="20"/>
          <w:u w:val="single"/>
          <w:lang w:val="en-US" w:eastAsia="zh-CN" w:bidi="ar-SA"/>
        </w:rPr>
        <w:t xml:space="preserve">                      </w:t>
      </w:r>
      <w:r>
        <w:rPr>
          <w:rFonts w:hint="eastAsia" w:ascii="宋体" w:hAnsi="宋体" w:eastAsia="宋体" w:cs="宋体"/>
          <w:b/>
          <w:color w:val="auto"/>
          <w:sz w:val="24"/>
          <w:szCs w:val="20"/>
          <w:u w:val="single"/>
          <w:lang w:val="en-US" w:eastAsia="zh-CN" w:bidi="ar-SA"/>
        </w:rPr>
        <w:t xml:space="preserve">   </w:t>
      </w:r>
      <w:r>
        <w:rPr>
          <w:rFonts w:hint="eastAsia" w:ascii="宋体" w:hAnsi="宋体" w:eastAsia="宋体" w:cs="宋体"/>
          <w:b/>
          <w:color w:val="auto"/>
          <w:sz w:val="24"/>
          <w:szCs w:val="20"/>
          <w:lang w:val="en-US" w:eastAsia="zh-CN" w:bidi="ar-SA"/>
        </w:rPr>
        <w:t>（简称乙方）</w:t>
      </w:r>
    </w:p>
    <w:p w14:paraId="2B94D379">
      <w:pPr>
        <w:keepNext w:val="0"/>
        <w:keepLines w:val="0"/>
        <w:pageBreakBefore w:val="0"/>
        <w:widowControl w:val="0"/>
        <w:spacing w:line="380" w:lineRule="exact"/>
        <w:ind w:firstLine="480"/>
        <w:rPr>
          <w:rFonts w:hint="eastAsia" w:ascii="宋体" w:hAnsi="宋体" w:eastAsia="宋体" w:cs="Times New Roman"/>
          <w:color w:val="auto"/>
          <w:sz w:val="24"/>
          <w:szCs w:val="24"/>
          <w:highlight w:val="none"/>
        </w:rPr>
      </w:pPr>
      <w:bookmarkStart w:id="162" w:name="_Hlk187832913"/>
      <w:r>
        <w:rPr>
          <w:rFonts w:hint="eastAsia" w:ascii="宋体" w:hAnsi="宋体" w:eastAsia="宋体" w:cs="Times New Roman"/>
          <w:color w:val="auto"/>
          <w:sz w:val="24"/>
          <w:szCs w:val="24"/>
          <w:highlight w:val="none"/>
        </w:rPr>
        <w:t>依据</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中华人民共和国政府采购法》</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中华人民共和国政府采购法</w:t>
      </w:r>
      <w:r>
        <w:rPr>
          <w:rFonts w:hint="eastAsia" w:ascii="宋体" w:hAnsi="宋体" w:cs="Times New Roman"/>
          <w:color w:val="auto"/>
          <w:sz w:val="24"/>
          <w:szCs w:val="24"/>
          <w:highlight w:val="none"/>
          <w:lang w:val="en-US" w:eastAsia="zh-CN"/>
        </w:rPr>
        <w:t>实施条例</w:t>
      </w:r>
      <w:r>
        <w:rPr>
          <w:rFonts w:hint="eastAsia" w:ascii="宋体" w:hAnsi="宋体" w:eastAsia="宋体" w:cs="Times New Roman"/>
          <w:color w:val="auto"/>
          <w:sz w:val="24"/>
          <w:szCs w:val="24"/>
          <w:highlight w:val="none"/>
        </w:rPr>
        <w:t>》</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《中华人民共和国民法典</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xml:space="preserve">等有关的法律法规，以及本采购项目采购文件、乙方的《投标文件》及《中标通知书》，甲乙双方同意签订本合同。具体情况及要求如下： </w:t>
      </w:r>
      <w:bookmarkEnd w:id="162"/>
    </w:p>
    <w:p w14:paraId="307EA433">
      <w:pPr>
        <w:keepNext w:val="0"/>
        <w:keepLines w:val="0"/>
        <w:pageBreakBefore w:val="0"/>
        <w:widowControl w:val="0"/>
        <w:spacing w:line="380" w:lineRule="exact"/>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一、</w:t>
      </w:r>
      <w:r>
        <w:rPr>
          <w:rFonts w:hint="eastAsia" w:ascii="宋体" w:hAnsi="宋体" w:eastAsia="宋体" w:cs="Times New Roman"/>
          <w:b/>
          <w:bCs/>
          <w:color w:val="auto"/>
          <w:sz w:val="24"/>
          <w:szCs w:val="24"/>
          <w:highlight w:val="none"/>
        </w:rPr>
        <w:t>项目信息</w:t>
      </w:r>
    </w:p>
    <w:p w14:paraId="7547072F">
      <w:pPr>
        <w:keepNext w:val="0"/>
        <w:keepLines w:val="0"/>
        <w:pageBreakBefore w:val="0"/>
        <w:widowControl w:val="0"/>
        <w:spacing w:line="380" w:lineRule="exact"/>
        <w:ind w:firstLine="480"/>
        <w:rPr>
          <w:rFonts w:ascii="Times New Roman" w:hAnsi="Times New Roman" w:eastAsia="宋体" w:cs="Times New Roman"/>
          <w:color w:val="auto"/>
          <w:sz w:val="24"/>
          <w:szCs w:val="24"/>
          <w:highlight w:val="none"/>
          <w:u w:val="single"/>
        </w:rPr>
      </w:pPr>
      <w:bookmarkStart w:id="163" w:name="_Hlk187833240"/>
      <w:r>
        <w:rPr>
          <w:rFonts w:ascii="Times New Roman" w:hAnsi="Times New Roman" w:eastAsia="宋体" w:cs="Times New Roman"/>
          <w:color w:val="auto"/>
          <w:sz w:val="24"/>
          <w:szCs w:val="24"/>
          <w:highlight w:val="none"/>
        </w:rPr>
        <w:t>（1）采购项目名称：</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沭阳县2026-2028年残疾儿童基本康复服务机构采购项目</w:t>
      </w:r>
      <w:r>
        <w:rPr>
          <w:rFonts w:ascii="Times New Roman" w:hAnsi="Times New Roman" w:eastAsia="宋体" w:cs="Times New Roman"/>
          <w:color w:val="auto"/>
          <w:sz w:val="24"/>
          <w:szCs w:val="24"/>
          <w:highlight w:val="none"/>
          <w:u w:val="single"/>
        </w:rPr>
        <w:t xml:space="preserve"> </w:t>
      </w:r>
    </w:p>
    <w:p w14:paraId="40551706">
      <w:pPr>
        <w:keepNext w:val="0"/>
        <w:keepLines w:val="0"/>
        <w:pageBreakBefore w:val="0"/>
        <w:widowControl w:val="0"/>
        <w:spacing w:line="380" w:lineRule="exact"/>
        <w:ind w:firstLine="480"/>
        <w:rPr>
          <w:rFonts w:hint="default"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采购项目编号：</w:t>
      </w:r>
      <w:r>
        <w:rPr>
          <w:rFonts w:ascii="Times New Roman" w:hAnsi="Times New Roman" w:eastAsia="宋体" w:cs="Times New Roman"/>
          <w:color w:val="auto"/>
          <w:sz w:val="24"/>
          <w:szCs w:val="24"/>
          <w:highlight w:val="none"/>
          <w:u w:val="single"/>
        </w:rPr>
        <w:t xml:space="preserve"> </w:t>
      </w:r>
      <w:bookmarkEnd w:id="163"/>
      <w:r>
        <w:rPr>
          <w:rFonts w:hint="eastAsia" w:ascii="Times New Roman" w:hAnsi="Times New Roman" w:cs="Times New Roman"/>
          <w:color w:val="auto"/>
          <w:sz w:val="24"/>
          <w:szCs w:val="24"/>
          <w:highlight w:val="none"/>
          <w:u w:val="single"/>
          <w:lang w:val="en-US" w:eastAsia="zh-CN"/>
        </w:rPr>
        <w:t xml:space="preserve">           </w:t>
      </w:r>
    </w:p>
    <w:p w14:paraId="121730EC">
      <w:pPr>
        <w:keepNext w:val="0"/>
        <w:keepLines w:val="0"/>
        <w:pageBreakBefore w:val="0"/>
        <w:widowControl w:val="0"/>
        <w:spacing w:line="380" w:lineRule="exact"/>
        <w:ind w:firstLine="480"/>
        <w:jc w:val="both"/>
        <w:rPr>
          <w:rFonts w:hint="eastAsia" w:ascii="宋体" w:hAnsi="宋体" w:eastAsia="宋体" w:cs="宋体"/>
          <w:color w:val="auto"/>
          <w:sz w:val="24"/>
          <w:szCs w:val="24"/>
          <w:lang w:val="en-US" w:eastAsia="zh-CN" w:bidi="ar-SA"/>
        </w:rPr>
      </w:pPr>
      <w:r>
        <w:rPr>
          <w:rFonts w:hint="eastAsia" w:ascii="宋体" w:hAnsi="宋体" w:eastAsia="宋体" w:cs="Times New Roman"/>
          <w:b/>
          <w:bCs/>
          <w:color w:val="auto"/>
          <w:sz w:val="24"/>
          <w:szCs w:val="24"/>
          <w:highlight w:val="none"/>
          <w:lang w:val="en-US" w:eastAsia="zh-CN" w:bidi="ar-SA"/>
        </w:rPr>
        <w:t>二、乙方向甲方提供</w:t>
      </w:r>
    </w:p>
    <w:p w14:paraId="1538F262">
      <w:pPr>
        <w:keepNext w:val="0"/>
        <w:keepLines w:val="0"/>
        <w:pageBreakBefore w:val="0"/>
        <w:widowControl w:val="0"/>
        <w:spacing w:line="380" w:lineRule="exact"/>
        <w:ind w:firstLine="480"/>
        <w:jc w:val="both"/>
        <w:rPr>
          <w:rFonts w:hint="eastAsia" w:ascii="Times New Roman" w:hAnsi="Times New Roman" w:eastAsia="宋体" w:cs="仿宋"/>
          <w:color w:val="000000"/>
          <w:sz w:val="24"/>
          <w:lang w:eastAsia="zh-CN"/>
        </w:rPr>
      </w:pPr>
      <w:r>
        <w:rPr>
          <w:rFonts w:hint="eastAsia" w:ascii="宋体" w:hAnsi="宋体" w:eastAsia="宋体" w:cs="宋体"/>
          <w:b w:val="0"/>
          <w:bCs w:val="0"/>
          <w:color w:val="auto"/>
          <w:sz w:val="24"/>
          <w:szCs w:val="24"/>
        </w:rPr>
        <w:t>视力康复服务，0-6周岁残疾儿童0.5万元/人/年，1年按满额服务9个月计。</w:t>
      </w:r>
    </w:p>
    <w:p w14:paraId="3918D9A7">
      <w:pPr>
        <w:keepNext w:val="0"/>
        <w:keepLines w:val="0"/>
        <w:pageBreakBefore w:val="0"/>
        <w:widowControl w:val="0"/>
        <w:spacing w:line="380" w:lineRule="exact"/>
        <w:ind w:firstLine="480"/>
        <w:jc w:val="both"/>
        <w:rPr>
          <w:rFonts w:hint="eastAsia" w:ascii="宋体" w:hAnsi="宋体" w:eastAsia="宋体" w:cs="宋体"/>
          <w:color w:val="auto"/>
          <w:sz w:val="24"/>
          <w:szCs w:val="24"/>
          <w:lang w:eastAsia="zh-CN"/>
        </w:rPr>
      </w:pPr>
      <w:r>
        <w:rPr>
          <w:rFonts w:hint="eastAsia" w:ascii="Times New Roman" w:hAnsi="Times New Roman" w:eastAsia="宋体" w:cs="仿宋"/>
          <w:color w:val="000000"/>
          <w:sz w:val="24"/>
          <w:lang w:eastAsia="zh-CN"/>
        </w:rPr>
        <w:t>听力言语</w:t>
      </w:r>
      <w:r>
        <w:rPr>
          <w:rFonts w:hint="eastAsia" w:ascii="Times New Roman" w:hAnsi="Times New Roman" w:eastAsia="宋体" w:cs="仿宋"/>
          <w:color w:val="000000"/>
          <w:sz w:val="24"/>
        </w:rPr>
        <w:t>康复服务，0-6周岁残疾儿童、0-1</w:t>
      </w:r>
      <w:r>
        <w:rPr>
          <w:rFonts w:hint="eastAsia" w:ascii="Times New Roman" w:hAnsi="Times New Roman" w:eastAsia="宋体" w:cs="仿宋"/>
          <w:color w:val="000000"/>
          <w:sz w:val="24"/>
          <w:lang w:val="en-US" w:eastAsia="zh-CN"/>
        </w:rPr>
        <w:t>4</w:t>
      </w:r>
      <w:r>
        <w:rPr>
          <w:rFonts w:hint="eastAsia" w:ascii="Times New Roman" w:hAnsi="Times New Roman" w:eastAsia="宋体" w:cs="仿宋"/>
          <w:color w:val="000000"/>
          <w:sz w:val="24"/>
        </w:rPr>
        <w:t>周岁人工耳蜗植入手术后康复训练儿童，</w:t>
      </w:r>
      <w:r>
        <w:rPr>
          <w:rFonts w:hint="eastAsia" w:ascii="Times New Roman" w:hAnsi="Times New Roman" w:eastAsia="宋体" w:cs="仿宋"/>
          <w:color w:val="000000"/>
          <w:sz w:val="24"/>
          <w:lang w:val="en-US" w:eastAsia="zh-CN"/>
        </w:rPr>
        <w:t>1.6万</w:t>
      </w:r>
      <w:r>
        <w:rPr>
          <w:rFonts w:hint="eastAsia" w:ascii="Times New Roman" w:hAnsi="Times New Roman" w:eastAsia="宋体" w:cs="仿宋"/>
          <w:color w:val="000000"/>
          <w:sz w:val="24"/>
        </w:rPr>
        <w:t>元/人/年，1年按满额服务9个月计</w:t>
      </w:r>
      <w:r>
        <w:rPr>
          <w:rFonts w:hint="eastAsia" w:ascii="宋体" w:hAnsi="宋体" w:cs="宋体"/>
          <w:color w:val="auto"/>
          <w:sz w:val="24"/>
          <w:szCs w:val="24"/>
          <w:lang w:eastAsia="zh-CN"/>
        </w:rPr>
        <w:t>。</w:t>
      </w:r>
    </w:p>
    <w:p w14:paraId="7BF27EE9">
      <w:pPr>
        <w:keepNext w:val="0"/>
        <w:keepLines w:val="0"/>
        <w:pageBreakBefore w:val="0"/>
        <w:widowControl w:val="0"/>
        <w:spacing w:line="340" w:lineRule="exact"/>
        <w:ind w:firstLine="480"/>
        <w:rPr>
          <w:rFonts w:ascii="宋体" w:hAnsi="宋体" w:eastAsia="宋体" w:cs="宋体"/>
          <w:b w:val="0"/>
          <w:bCs w:val="0"/>
          <w:color w:val="auto"/>
          <w:sz w:val="24"/>
          <w:szCs w:val="24"/>
        </w:rPr>
      </w:pPr>
      <w:r>
        <w:rPr>
          <w:rFonts w:hint="eastAsia" w:ascii="宋体" w:hAnsi="宋体" w:eastAsia="宋体" w:cs="宋体"/>
          <w:b/>
          <w:bCs/>
          <w:color w:val="auto"/>
          <w:sz w:val="24"/>
          <w:szCs w:val="24"/>
        </w:rPr>
        <w:t>注：非全日制残疾儿童康复救助经费标准按照康复类别全日制救助标准的90%，结算年度康复救助经费。本项目以实际发生的服务进行结算。</w:t>
      </w:r>
    </w:p>
    <w:p w14:paraId="425A9271">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转介到异地</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lang w:val="en-US" w:eastAsia="zh-CN"/>
        </w:rPr>
        <w:t>含市外</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的受助儿童康复服务经费结算，原则上按户籍地救助标准执行，户籍地救助标准高于服务承接地标准时，按服务承接地救助标准执行。</w:t>
      </w:r>
    </w:p>
    <w:p w14:paraId="19D3159E">
      <w:pPr>
        <w:keepNext w:val="0"/>
        <w:keepLines w:val="0"/>
        <w:pageBreakBefore w:val="0"/>
        <w:widowControl w:val="0"/>
        <w:spacing w:line="380" w:lineRule="exact"/>
        <w:ind w:firstLine="482"/>
        <w:rPr>
          <w:rFonts w:ascii="Times New Roman" w:hAnsi="Times New Roman" w:eastAsia="宋体" w:cs="仿宋"/>
          <w:color w:val="auto"/>
          <w:sz w:val="24"/>
        </w:rPr>
      </w:pPr>
    </w:p>
    <w:tbl>
      <w:tblPr>
        <w:tblStyle w:val="29"/>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7"/>
        <w:gridCol w:w="2677"/>
        <w:gridCol w:w="5345"/>
      </w:tblGrid>
      <w:tr w14:paraId="0C051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jc w:val="center"/>
        </w:trPr>
        <w:tc>
          <w:tcPr>
            <w:tcW w:w="757" w:type="dxa"/>
            <w:noWrap/>
            <w:vAlign w:val="center"/>
          </w:tcPr>
          <w:p w14:paraId="2A17AD7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序号</w:t>
            </w:r>
          </w:p>
        </w:tc>
        <w:tc>
          <w:tcPr>
            <w:tcW w:w="2677" w:type="dxa"/>
            <w:noWrap/>
            <w:vAlign w:val="center"/>
          </w:tcPr>
          <w:p w14:paraId="3EF7D6DF">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服务内容</w:t>
            </w:r>
          </w:p>
        </w:tc>
        <w:tc>
          <w:tcPr>
            <w:tcW w:w="5345" w:type="dxa"/>
            <w:noWrap/>
            <w:vAlign w:val="center"/>
          </w:tcPr>
          <w:p w14:paraId="3D0A2F7B">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详细内容</w:t>
            </w:r>
          </w:p>
        </w:tc>
      </w:tr>
      <w:tr w14:paraId="15AA1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6" w:hRule="atLeast"/>
          <w:jc w:val="center"/>
        </w:trPr>
        <w:tc>
          <w:tcPr>
            <w:tcW w:w="757" w:type="dxa"/>
            <w:noWrap/>
            <w:vAlign w:val="center"/>
          </w:tcPr>
          <w:p w14:paraId="25CC566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p>
        </w:tc>
        <w:tc>
          <w:tcPr>
            <w:tcW w:w="2677" w:type="dxa"/>
            <w:noWrap/>
            <w:vAlign w:val="center"/>
          </w:tcPr>
          <w:p w14:paraId="35AAC52E">
            <w:pPr>
              <w:keepNext w:val="0"/>
              <w:keepLines w:val="0"/>
              <w:pageBreakBefore w:val="0"/>
              <w:widowControl w:val="0"/>
              <w:tabs>
                <w:tab w:val="left" w:pos="950"/>
              </w:tabs>
              <w:kinsoku/>
              <w:wordWrap/>
              <w:overflowPunct/>
              <w:topLinePunct w:val="0"/>
              <w:autoSpaceDE/>
              <w:autoSpaceDN/>
              <w:bidi w:val="0"/>
              <w:adjustRightInd/>
              <w:snapToGrid/>
              <w:spacing w:before="2" w:line="420" w:lineRule="exact"/>
              <w:ind w:left="0" w:right="431" w:firstLine="0"/>
              <w:jc w:val="both"/>
              <w:textAlignment w:val="auto"/>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沭阳县2026-2028年残疾儿童基本康复服务机构采购项目</w:t>
            </w:r>
          </w:p>
        </w:tc>
        <w:tc>
          <w:tcPr>
            <w:tcW w:w="5345" w:type="dxa"/>
            <w:noWrap/>
            <w:vAlign w:val="center"/>
          </w:tcPr>
          <w:p w14:paraId="24E0B5AE">
            <w:pPr>
              <w:keepNext w:val="0"/>
              <w:keepLines w:val="0"/>
              <w:pageBreakBefore w:val="0"/>
              <w:widowControl w:val="0"/>
              <w:tabs>
                <w:tab w:val="left" w:pos="950"/>
              </w:tabs>
              <w:kinsoku/>
              <w:wordWrap/>
              <w:overflowPunct/>
              <w:topLinePunct w:val="0"/>
              <w:autoSpaceDE/>
              <w:autoSpaceDN/>
              <w:bidi w:val="0"/>
              <w:adjustRightInd/>
              <w:snapToGrid/>
              <w:spacing w:before="2" w:line="420" w:lineRule="exact"/>
              <w:ind w:left="0" w:right="431" w:firstLine="0"/>
              <w:jc w:val="both"/>
              <w:textAlignment w:val="auto"/>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针对性提供</w:t>
            </w:r>
            <w:r>
              <w:rPr>
                <w:rFonts w:hint="eastAsia" w:ascii="宋体" w:hAnsi="宋体" w:eastAsia="Times New Roman" w:cs="宋体"/>
                <w:color w:val="auto"/>
                <w:spacing w:val="-1"/>
                <w:sz w:val="24"/>
                <w:szCs w:val="24"/>
                <w:u w:val="single"/>
                <w:lang w:val="en-US" w:eastAsia="zh-CN" w:bidi="zh-CN"/>
              </w:rPr>
              <w:t xml:space="preserve"> </w:t>
            </w:r>
            <w:r>
              <w:rPr>
                <w:rFonts w:hint="eastAsia" w:ascii="宋体" w:hAnsi="宋体" w:eastAsia="Times New Roman" w:cs="宋体"/>
                <w:b/>
                <w:bCs/>
                <w:color w:val="auto"/>
                <w:spacing w:val="-1"/>
                <w:sz w:val="24"/>
                <w:szCs w:val="24"/>
                <w:u w:val="single"/>
                <w:lang w:val="en-US" w:eastAsia="zh-CN" w:bidi="zh-CN"/>
              </w:rPr>
              <w:t>视力、</w:t>
            </w:r>
            <w:r>
              <w:rPr>
                <w:rFonts w:hint="eastAsia" w:ascii="宋体" w:hAnsi="宋体" w:eastAsia="Times New Roman" w:cs="宋体"/>
                <w:color w:val="auto"/>
                <w:spacing w:val="-1"/>
                <w:sz w:val="24"/>
                <w:szCs w:val="24"/>
                <w:u w:val="single"/>
                <w:lang w:val="en-US" w:eastAsia="zh-CN" w:bidi="zh-CN"/>
              </w:rPr>
              <w:t xml:space="preserve"> </w:t>
            </w:r>
            <w:r>
              <w:rPr>
                <w:rFonts w:hint="eastAsia" w:ascii="宋体" w:hAnsi="宋体" w:eastAsia="Times New Roman" w:cs="宋体"/>
                <w:b/>
                <w:bCs/>
                <w:color w:val="auto"/>
                <w:spacing w:val="-1"/>
                <w:sz w:val="24"/>
                <w:szCs w:val="24"/>
                <w:u w:val="single"/>
                <w:lang w:val="en-US" w:eastAsia="zh-CN" w:bidi="zh-CN"/>
              </w:rPr>
              <w:t>听力言语</w:t>
            </w:r>
            <w:r>
              <w:rPr>
                <w:rFonts w:hint="eastAsia" w:ascii="宋体" w:hAnsi="宋体" w:eastAsia="Times New Roman" w:cs="宋体"/>
                <w:b/>
                <w:bCs/>
                <w:color w:val="auto"/>
                <w:sz w:val="24"/>
                <w:szCs w:val="24"/>
                <w:u w:val="single"/>
                <w:lang w:val="en-US" w:eastAsia="zh-CN" w:bidi="ar-SA"/>
              </w:rPr>
              <w:t xml:space="preserve">  </w:t>
            </w:r>
            <w:r>
              <w:rPr>
                <w:rFonts w:hint="eastAsia" w:ascii="宋体" w:hAnsi="宋体" w:eastAsia="Times New Roman" w:cs="宋体"/>
                <w:color w:val="auto"/>
                <w:spacing w:val="-1"/>
                <w:sz w:val="24"/>
                <w:szCs w:val="24"/>
                <w:lang w:val="en-US" w:eastAsia="zh-CN" w:bidi="zh-CN"/>
              </w:rPr>
              <w:t>残疾康复服务。</w:t>
            </w:r>
          </w:p>
          <w:p w14:paraId="53FAF1FE">
            <w:pPr>
              <w:keepNext w:val="0"/>
              <w:keepLines w:val="0"/>
              <w:pageBreakBefore w:val="0"/>
              <w:widowControl w:val="0"/>
              <w:tabs>
                <w:tab w:val="left" w:pos="950"/>
              </w:tabs>
              <w:kinsoku/>
              <w:wordWrap/>
              <w:overflowPunct/>
              <w:topLinePunct w:val="0"/>
              <w:autoSpaceDE/>
              <w:autoSpaceDN/>
              <w:bidi w:val="0"/>
              <w:adjustRightInd/>
              <w:snapToGrid/>
              <w:spacing w:before="2" w:line="420" w:lineRule="exact"/>
              <w:ind w:left="0" w:right="431" w:firstLine="0"/>
              <w:jc w:val="both"/>
              <w:textAlignment w:val="auto"/>
              <w:rPr>
                <w:rFonts w:hint="default"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按照《江苏省残疾人基本康复服务目录》提供与年龄和残疾类别相适应的康复训练、康复医疗、辅助器具适配和支持性服务，并向残疾儿童及其家庭提供康复评估、康复咨询、康复指导和康复宣传服务。</w:t>
            </w:r>
          </w:p>
        </w:tc>
      </w:tr>
    </w:tbl>
    <w:p w14:paraId="2CF683E7">
      <w:pPr>
        <w:keepNext w:val="0"/>
        <w:keepLines w:val="0"/>
        <w:pageBreakBefore w:val="0"/>
        <w:widowControl w:val="0"/>
        <w:spacing w:line="380" w:lineRule="exact"/>
        <w:ind w:firstLine="480"/>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三、服务地点</w:t>
      </w:r>
    </w:p>
    <w:p w14:paraId="2019EB04">
      <w:pPr>
        <w:keepNext w:val="0"/>
        <w:keepLines w:val="0"/>
        <w:pageBreakBefore w:val="0"/>
        <w:widowControl w:val="0"/>
        <w:spacing w:line="380" w:lineRule="exact"/>
        <w:ind w:firstLine="480"/>
        <w:jc w:val="both"/>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（一）采购合同签订后</w:t>
      </w:r>
      <w:r>
        <w:rPr>
          <w:rFonts w:hint="eastAsia" w:ascii="宋体" w:hAnsi="宋体" w:cs="Times New Roman"/>
          <w:b w:val="0"/>
          <w:bCs w:val="0"/>
          <w:color w:val="auto"/>
          <w:sz w:val="24"/>
          <w:szCs w:val="24"/>
          <w:highlight w:val="none"/>
          <w:lang w:val="en-US" w:eastAsia="zh-CN" w:bidi="ar-SA"/>
        </w:rPr>
        <w:t>3</w:t>
      </w:r>
      <w:r>
        <w:rPr>
          <w:rFonts w:hint="eastAsia" w:ascii="宋体" w:hAnsi="宋体" w:eastAsia="宋体" w:cs="Times New Roman"/>
          <w:b w:val="0"/>
          <w:bCs w:val="0"/>
          <w:color w:val="auto"/>
          <w:sz w:val="24"/>
          <w:szCs w:val="24"/>
          <w:highlight w:val="none"/>
          <w:lang w:val="en-US" w:eastAsia="zh-CN" w:bidi="ar-SA"/>
        </w:rPr>
        <w:t>日历天内乙方安排工作人员开展工作。</w:t>
      </w:r>
    </w:p>
    <w:p w14:paraId="59B8B367">
      <w:pPr>
        <w:keepNext w:val="0"/>
        <w:keepLines w:val="0"/>
        <w:pageBreakBefore w:val="0"/>
        <w:widowControl w:val="0"/>
        <w:spacing w:line="380" w:lineRule="exact"/>
        <w:ind w:firstLine="480"/>
        <w:jc w:val="both"/>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（二）合同履行地点：</w:t>
      </w:r>
      <w:r>
        <w:rPr>
          <w:rFonts w:hint="eastAsia" w:ascii="宋体" w:hAnsi="宋体" w:cs="Times New Roman"/>
          <w:b w:val="0"/>
          <w:bCs w:val="0"/>
          <w:color w:val="auto"/>
          <w:sz w:val="24"/>
          <w:szCs w:val="24"/>
          <w:highlight w:val="none"/>
          <w:lang w:val="en-US" w:eastAsia="zh-CN" w:bidi="ar-SA"/>
        </w:rPr>
        <w:t>按照投标文件执行，如更换服务场地、机构名称、法人代表等主要事项，必须事先向甲方提出申请，同时服务场所要适宜儿童活动有关要求并达到安全、消防等有关要求。</w:t>
      </w:r>
    </w:p>
    <w:p w14:paraId="08E14145">
      <w:pPr>
        <w:keepNext w:val="0"/>
        <w:keepLines w:val="0"/>
        <w:pageBreakBefore w:val="0"/>
        <w:widowControl w:val="0"/>
        <w:numPr>
          <w:ilvl w:val="0"/>
          <w:numId w:val="0"/>
        </w:numPr>
        <w:spacing w:line="380" w:lineRule="exact"/>
        <w:ind w:firstLine="482"/>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四、服务对象和服务期</w:t>
      </w:r>
    </w:p>
    <w:p w14:paraId="31F33AFC">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b w:val="0"/>
          <w:bCs w:val="0"/>
          <w:color w:val="auto"/>
          <w:sz w:val="24"/>
        </w:rPr>
        <w:t>1、基本康复服务对象，</w:t>
      </w:r>
      <w:r>
        <w:rPr>
          <w:rFonts w:hint="eastAsia" w:ascii="Times New Roman" w:hAnsi="Times New Roman" w:eastAsia="宋体" w:cs="仿宋"/>
          <w:sz w:val="24"/>
        </w:rPr>
        <w:t>是指具有</w:t>
      </w:r>
      <w:r>
        <w:rPr>
          <w:rFonts w:hint="eastAsia" w:ascii="Times New Roman" w:hAnsi="Times New Roman" w:eastAsia="宋体" w:cs="仿宋"/>
          <w:sz w:val="24"/>
          <w:lang w:eastAsia="zh-CN"/>
        </w:rPr>
        <w:t>沭阳</w:t>
      </w:r>
      <w:r>
        <w:rPr>
          <w:rFonts w:hint="eastAsia" w:ascii="Times New Roman" w:hAnsi="Times New Roman" w:eastAsia="宋体" w:cs="仿宋"/>
          <w:sz w:val="24"/>
        </w:rPr>
        <w:t>县户籍，有康复需求和康复意愿，经国内三级医院、县级以上残联和卫健部门指定的残疾评定机构或残疾评定专家组诊断评估有康复训练适应指征的</w:t>
      </w:r>
      <w:r>
        <w:rPr>
          <w:rFonts w:hint="eastAsia" w:ascii="Times New Roman" w:hAnsi="Times New Roman" w:cs="仿宋"/>
          <w:sz w:val="24"/>
          <w:lang w:val="en-US" w:eastAsia="zh-CN"/>
        </w:rPr>
        <w:t>残疾</w:t>
      </w:r>
      <w:r>
        <w:rPr>
          <w:rFonts w:hint="eastAsia" w:ascii="Times New Roman" w:hAnsi="Times New Roman" w:eastAsia="宋体" w:cs="仿宋"/>
          <w:color w:val="000000"/>
          <w:sz w:val="24"/>
          <w:lang w:val="en-US" w:eastAsia="zh-CN"/>
        </w:rPr>
        <w:t>康复训练儿童。</w:t>
      </w:r>
    </w:p>
    <w:p w14:paraId="659AB2F1">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经国内三级医院相应科室副主任医师以上职称的医师诊断为听力言语发育功能障碍。</w:t>
      </w:r>
      <w:r>
        <w:rPr>
          <w:rFonts w:hint="eastAsia" w:ascii="Times New Roman" w:hAnsi="Times New Roman" w:eastAsia="宋体" w:cs="仿宋"/>
          <w:color w:val="000000"/>
          <w:sz w:val="24"/>
        </w:rPr>
        <w:t>确需接受康复训练的儿童，由医院出具医学诊断证明书。医学诊断证明书须注明需要康复的类别，加盖医院诊断专用章。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首次申请康复救助的医学诊断证明书，诊断证明书自开具之日起3年内有效。</w:t>
      </w:r>
      <w:r>
        <w:rPr>
          <w:rFonts w:hint="eastAsia" w:ascii="Times New Roman" w:hAnsi="Times New Roman" w:eastAsia="宋体" w:cs="仿宋"/>
          <w:color w:val="000000"/>
          <w:sz w:val="24"/>
        </w:rPr>
        <w:t>医学诊断证明书表述模糊不清、未注明需要康复类别的，县级以上残联应组织复筛复查。</w:t>
      </w:r>
    </w:p>
    <w:p w14:paraId="138DEABD">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000000"/>
          <w:sz w:val="24"/>
        </w:rPr>
        <w:t>疑似残疾的</w:t>
      </w:r>
      <w:r>
        <w:rPr>
          <w:rFonts w:hint="eastAsia" w:ascii="Times New Roman" w:hAnsi="Times New Roman" w:cs="仿宋"/>
          <w:color w:val="000000"/>
          <w:sz w:val="24"/>
          <w:lang w:val="en-US" w:eastAsia="zh-CN"/>
        </w:rPr>
        <w:t>视力</w:t>
      </w:r>
      <w:r>
        <w:rPr>
          <w:rFonts w:hint="eastAsia" w:ascii="Times New Roman" w:hAnsi="Times New Roman" w:eastAsia="宋体" w:cs="仿宋"/>
          <w:color w:val="000000"/>
          <w:sz w:val="24"/>
        </w:rPr>
        <w:t>发育功能障碍</w:t>
      </w:r>
      <w:r>
        <w:rPr>
          <w:rFonts w:hint="eastAsia" w:ascii="Times New Roman" w:hAnsi="Times New Roman" w:eastAsia="宋体" w:cs="仿宋"/>
          <w:color w:val="000000"/>
          <w:sz w:val="24"/>
          <w:lang w:val="en-US" w:eastAsia="zh-CN"/>
        </w:rPr>
        <w:t>儿童</w:t>
      </w:r>
      <w:r>
        <w:rPr>
          <w:rFonts w:hint="eastAsia" w:ascii="Times New Roman" w:hAnsi="Times New Roman" w:eastAsia="宋体" w:cs="仿宋"/>
          <w:color w:val="000000"/>
          <w:sz w:val="24"/>
        </w:rPr>
        <w:t>，其监护人可向户籍地县级残联申请残疾评定。符合残疾评定标准的，残疾评定表中应注明残疾类别和分级，由户籍地县级残联盖章确认。</w:t>
      </w:r>
    </w:p>
    <w:p w14:paraId="6B5674B3">
      <w:pPr>
        <w:keepNext w:val="0"/>
        <w:keepLines w:val="0"/>
        <w:pageBreakBefore w:val="0"/>
        <w:widowControl w:val="0"/>
        <w:spacing w:line="340" w:lineRule="exact"/>
        <w:ind w:firstLine="482"/>
        <w:rPr>
          <w:rFonts w:hint="eastAsia" w:ascii="Times New Roman" w:hAnsi="Times New Roman" w:eastAsia="宋体" w:cs="仿宋"/>
          <w:sz w:val="24"/>
        </w:rPr>
      </w:pPr>
      <w:r>
        <w:rPr>
          <w:rFonts w:hint="eastAsia" w:ascii="Times New Roman" w:hAnsi="Times New Roman" w:eastAsia="宋体" w:cs="仿宋"/>
          <w:color w:val="000000"/>
          <w:sz w:val="24"/>
        </w:rPr>
        <w:t>疑似残疾的</w:t>
      </w:r>
      <w:r>
        <w:rPr>
          <w:rFonts w:hint="eastAsia" w:ascii="Times New Roman" w:hAnsi="Times New Roman" w:eastAsia="宋体" w:cs="仿宋"/>
          <w:color w:val="000000"/>
          <w:sz w:val="24"/>
          <w:lang w:val="en-US" w:eastAsia="zh-CN"/>
        </w:rPr>
        <w:t>听力言语</w:t>
      </w:r>
      <w:r>
        <w:rPr>
          <w:rFonts w:hint="eastAsia" w:ascii="Times New Roman" w:hAnsi="Times New Roman" w:eastAsia="宋体" w:cs="仿宋"/>
          <w:color w:val="000000"/>
          <w:sz w:val="24"/>
        </w:rPr>
        <w:t>发育功能障碍</w:t>
      </w:r>
      <w:r>
        <w:rPr>
          <w:rFonts w:hint="eastAsia" w:ascii="Times New Roman" w:hAnsi="Times New Roman" w:eastAsia="宋体" w:cs="仿宋"/>
          <w:color w:val="000000"/>
          <w:sz w:val="24"/>
          <w:lang w:val="en-US" w:eastAsia="zh-CN"/>
        </w:rPr>
        <w:t>儿童</w:t>
      </w:r>
      <w:r>
        <w:rPr>
          <w:rFonts w:hint="eastAsia" w:ascii="Times New Roman" w:hAnsi="Times New Roman" w:eastAsia="宋体" w:cs="仿宋"/>
          <w:color w:val="000000"/>
          <w:sz w:val="24"/>
        </w:rPr>
        <w:t>，其监护</w:t>
      </w:r>
      <w:r>
        <w:rPr>
          <w:rFonts w:hint="eastAsia" w:ascii="Times New Roman" w:hAnsi="Times New Roman" w:eastAsia="宋体" w:cs="仿宋"/>
          <w:sz w:val="24"/>
        </w:rPr>
        <w:t>人可向户籍地县级残联申请残疾评定。符合残疾评定标准的，残疾评定表中应注明残疾类别和分级，由户籍地县级残联盖章确认。</w:t>
      </w:r>
    </w:p>
    <w:p w14:paraId="20CEE6A9">
      <w:pPr>
        <w:spacing w:line="360" w:lineRule="exact"/>
        <w:ind w:firstLine="482"/>
        <w:rPr>
          <w:rFonts w:ascii="Times New Roman" w:hAnsi="Times New Roman" w:eastAsia="宋体" w:cs="仿宋"/>
          <w:color w:val="auto"/>
          <w:sz w:val="24"/>
        </w:rPr>
      </w:pPr>
      <w:r>
        <w:rPr>
          <w:rFonts w:hint="eastAsia" w:ascii="Times New Roman" w:hAnsi="Times New Roman" w:eastAsia="宋体" w:cs="仿宋"/>
          <w:sz w:val="24"/>
        </w:rPr>
        <w:t>人工耳蜗植入手术后接受康复训练的儿童，符合残疾评定标准的，鼓励监护人为残疾儿童申领残疾人证</w:t>
      </w:r>
      <w:r>
        <w:rPr>
          <w:rFonts w:hint="eastAsia" w:ascii="Times New Roman" w:hAnsi="Times New Roman" w:eastAsia="宋体" w:cs="仿宋"/>
          <w:color w:val="000000"/>
          <w:sz w:val="24"/>
        </w:rPr>
        <w:t>。</w:t>
      </w:r>
    </w:p>
    <w:p w14:paraId="209D3CAB">
      <w:pPr>
        <w:spacing w:line="36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2、申请康复救助需提供残疾儿童户籍证明</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身份证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资料、医学诊断证明书</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残疾评定表、残疾人证</w:t>
      </w:r>
      <w:r>
        <w:rPr>
          <w:rFonts w:hint="eastAsia" w:ascii="Times New Roman" w:hAnsi="Times New Roman" w:eastAsia="宋体" w:cs="仿宋"/>
          <w:color w:val="auto"/>
          <w:sz w:val="24"/>
          <w:lang w:eastAsia="zh-CN"/>
        </w:rPr>
        <w:t>）</w:t>
      </w:r>
      <w:r>
        <w:rPr>
          <w:rFonts w:hint="eastAsia" w:ascii="Times New Roman" w:hAnsi="Times New Roman" w:eastAsia="宋体" w:cs="仿宋"/>
          <w:color w:val="auto"/>
          <w:sz w:val="24"/>
        </w:rPr>
        <w:t>。</w:t>
      </w:r>
    </w:p>
    <w:p w14:paraId="456D009B">
      <w:pPr>
        <w:keepNext w:val="0"/>
        <w:keepLines w:val="0"/>
        <w:pageBreakBefore w:val="0"/>
        <w:widowControl w:val="0"/>
        <w:numPr>
          <w:ilvl w:val="0"/>
          <w:numId w:val="0"/>
        </w:numPr>
        <w:spacing w:line="380" w:lineRule="exact"/>
        <w:ind w:firstLine="480"/>
        <w:rPr>
          <w:rFonts w:ascii="宋体" w:hAnsi="宋体" w:eastAsia="宋体" w:cs="Times New Roman"/>
          <w:b/>
          <w:color w:val="auto"/>
          <w:sz w:val="24"/>
          <w:szCs w:val="24"/>
          <w:highlight w:val="none"/>
          <w:lang w:val="en-US" w:eastAsia="zh-CN"/>
        </w:rPr>
      </w:pPr>
      <w:r>
        <w:rPr>
          <w:rFonts w:hint="eastAsia" w:ascii="Times New Roman" w:hAnsi="Times New Roman" w:eastAsia="宋体" w:cs="仿宋"/>
          <w:color w:val="auto"/>
          <w:sz w:val="24"/>
          <w:lang w:val="en-US" w:eastAsia="zh-CN"/>
        </w:rPr>
        <w:t>3、</w:t>
      </w:r>
      <w:r>
        <w:rPr>
          <w:rFonts w:hint="eastAsia" w:ascii="宋体" w:hAnsi="宋体" w:eastAsia="宋体" w:cs="Times New Roman"/>
          <w:b w:val="0"/>
          <w:bCs/>
          <w:color w:val="auto"/>
          <w:sz w:val="24"/>
          <w:szCs w:val="24"/>
          <w:highlight w:val="none"/>
          <w:lang w:val="en-US" w:eastAsia="zh-CN"/>
        </w:rPr>
        <w:t>服务期：</w:t>
      </w:r>
      <w:r>
        <w:rPr>
          <w:rFonts w:hint="eastAsia" w:ascii="Times New Roman" w:hAnsi="Times New Roman" w:eastAsia="宋体" w:cs="仿宋"/>
          <w:color w:val="auto"/>
          <w:sz w:val="24"/>
          <w:szCs w:val="24"/>
        </w:rPr>
        <w:t>自合同签订之日</w:t>
      </w:r>
      <w:r>
        <w:rPr>
          <w:rFonts w:hint="eastAsia" w:ascii="Times New Roman" w:hAnsi="Times New Roman" w:eastAsia="宋体" w:cs="仿宋"/>
          <w:color w:val="auto"/>
          <w:sz w:val="24"/>
          <w:szCs w:val="24"/>
          <w:highlight w:val="none"/>
        </w:rPr>
        <w:t>起3年</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lang w:val="en-US" w:eastAsia="zh-CN"/>
        </w:rPr>
        <w:t>合同一年一签</w:t>
      </w:r>
      <w:r>
        <w:rPr>
          <w:rFonts w:hint="eastAsia" w:ascii="Times New Roman" w:hAnsi="Times New Roman" w:eastAsia="宋体" w:cs="仿宋"/>
          <w:color w:val="auto"/>
          <w:sz w:val="24"/>
          <w:szCs w:val="24"/>
          <w:highlight w:val="none"/>
          <w:lang w:eastAsia="zh-CN"/>
        </w:rPr>
        <w:t>）</w:t>
      </w:r>
    </w:p>
    <w:p w14:paraId="4718A9D2">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五、服务目标与内容</w:t>
      </w:r>
    </w:p>
    <w:p w14:paraId="3A986B32">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b w:val="0"/>
          <w:bCs w:val="0"/>
          <w:color w:val="auto"/>
          <w:sz w:val="24"/>
        </w:rPr>
        <w:t>1、</w:t>
      </w:r>
      <w:r>
        <w:rPr>
          <w:rFonts w:hint="eastAsia" w:ascii="Times New Roman" w:hAnsi="Times New Roman" w:eastAsia="宋体" w:cs="仿宋"/>
          <w:b/>
          <w:bCs/>
          <w:color w:val="auto"/>
          <w:sz w:val="24"/>
        </w:rPr>
        <w:t>服务目标与标准：</w:t>
      </w:r>
      <w:r>
        <w:rPr>
          <w:rFonts w:hint="eastAsia" w:ascii="Times New Roman" w:hAnsi="Times New Roman" w:eastAsia="宋体" w:cs="仿宋"/>
          <w:color w:val="auto"/>
          <w:sz w:val="24"/>
        </w:rPr>
        <w:t>本项目基本康复服务着眼改善和提高</w:t>
      </w:r>
      <w:r>
        <w:rPr>
          <w:rFonts w:hint="eastAsia" w:ascii="Times New Roman" w:hAnsi="Times New Roman" w:cs="仿宋"/>
          <w:color w:val="auto"/>
          <w:sz w:val="24"/>
          <w:lang w:val="en-US" w:eastAsia="zh-CN"/>
        </w:rPr>
        <w:t>视力、</w:t>
      </w:r>
      <w:r>
        <w:rPr>
          <w:rFonts w:hint="eastAsia" w:ascii="Times New Roman" w:hAnsi="Times New Roman" w:cs="仿宋"/>
          <w:color w:val="auto"/>
          <w:sz w:val="24"/>
          <w:lang w:eastAsia="zh-CN"/>
        </w:rPr>
        <w:t>听力言语</w:t>
      </w:r>
      <w:r>
        <w:rPr>
          <w:rFonts w:hint="eastAsia" w:ascii="Times New Roman" w:hAnsi="Times New Roman" w:cs="仿宋"/>
          <w:color w:val="auto"/>
          <w:sz w:val="24"/>
          <w:lang w:val="en-US" w:eastAsia="zh-CN"/>
        </w:rPr>
        <w:t>残疾</w:t>
      </w:r>
      <w:r>
        <w:rPr>
          <w:rFonts w:hint="eastAsia" w:ascii="Times New Roman" w:hAnsi="Times New Roman" w:eastAsia="宋体" w:cs="仿宋"/>
          <w:color w:val="auto"/>
          <w:sz w:val="24"/>
        </w:rPr>
        <w:t>儿童感知、运动、认知、言语沟通、情绪管理、生活自理、社会交往等能力。</w:t>
      </w:r>
    </w:p>
    <w:p w14:paraId="5739CDFB">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2、</w:t>
      </w:r>
      <w:r>
        <w:rPr>
          <w:rFonts w:hint="eastAsia" w:ascii="Times New Roman" w:hAnsi="Times New Roman" w:eastAsia="宋体" w:cs="仿宋"/>
          <w:b/>
          <w:color w:val="auto"/>
          <w:sz w:val="24"/>
        </w:rPr>
        <w:t>服务项目内容与范围：</w:t>
      </w:r>
      <w:r>
        <w:rPr>
          <w:rFonts w:hint="eastAsia" w:ascii="Times New Roman" w:hAnsi="Times New Roman" w:cs="仿宋"/>
          <w:b w:val="0"/>
          <w:bCs/>
          <w:color w:val="auto"/>
          <w:sz w:val="24"/>
          <w:lang w:val="en-US" w:eastAsia="zh-CN"/>
        </w:rPr>
        <w:t>本项目针对性提供</w:t>
      </w:r>
      <w:r>
        <w:rPr>
          <w:rFonts w:hint="eastAsia" w:ascii="Times New Roman" w:hAnsi="Times New Roman" w:cs="仿宋"/>
          <w:color w:val="auto"/>
          <w:sz w:val="24"/>
          <w:lang w:eastAsia="zh-CN"/>
        </w:rPr>
        <w:t>听力言语</w:t>
      </w:r>
      <w:r>
        <w:rPr>
          <w:rFonts w:hint="eastAsia" w:ascii="Times New Roman" w:hAnsi="Times New Roman" w:cs="仿宋"/>
          <w:b w:val="0"/>
          <w:bCs/>
          <w:color w:val="auto"/>
          <w:sz w:val="24"/>
          <w:lang w:val="en-US" w:eastAsia="zh-CN"/>
        </w:rPr>
        <w:t>康复服务。</w:t>
      </w:r>
      <w:r>
        <w:rPr>
          <w:rFonts w:hint="eastAsia" w:ascii="Times New Roman" w:hAnsi="Times New Roman" w:eastAsia="宋体" w:cs="仿宋"/>
          <w:color w:val="auto"/>
          <w:sz w:val="24"/>
        </w:rPr>
        <w:t>按照《江苏省残疾人基本康复服务目录》提供与年龄和残疾类别相适应的康复训练、康复医疗、辅助器具适配和支持性服务，并向残疾儿童及其家庭提供康复评估、康复咨询、康复指导和康复宣传服务。</w:t>
      </w:r>
    </w:p>
    <w:p w14:paraId="49CB76D2">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3、</w:t>
      </w:r>
      <w:r>
        <w:rPr>
          <w:rFonts w:hint="eastAsia" w:ascii="Times New Roman" w:hAnsi="Times New Roman" w:eastAsia="宋体" w:cs="仿宋"/>
          <w:b/>
          <w:color w:val="auto"/>
          <w:sz w:val="24"/>
        </w:rPr>
        <w:t>服务时间安排：</w:t>
      </w:r>
    </w:p>
    <w:p w14:paraId="0CFB68F0">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（1）为保证康复效果连续有效，政府购买的残疾儿童基本康复服务应在机构内进行，年度基本康复时间不少于9个月。执行与教育部门同步学期规定的公办机构（特教学校）可延至次年1月31日。</w:t>
      </w:r>
    </w:p>
    <w:p w14:paraId="45B13ADE">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（2）基本康复服务形式分全日制和非全日制两种类型，残疾儿童监护人可自主选择服务类型。</w:t>
      </w:r>
    </w:p>
    <w:p w14:paraId="57FD44C3">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highlight w:val="none"/>
        </w:rPr>
        <w:t>全日制是指残疾儿童在定点机构内同步接受康复服务和学前（学科）教育。</w:t>
      </w:r>
      <w:r>
        <w:rPr>
          <w:rFonts w:hint="eastAsia" w:ascii="Times New Roman" w:hAnsi="Times New Roman" w:cs="仿宋"/>
          <w:color w:val="auto"/>
          <w:sz w:val="24"/>
          <w:highlight w:val="none"/>
          <w:lang w:val="en-US" w:eastAsia="zh-CN"/>
        </w:rPr>
        <w:t>每月不少于20天</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rPr>
        <w:t>每天</w:t>
      </w:r>
      <w:r>
        <w:rPr>
          <w:rFonts w:hint="eastAsia" w:ascii="Times New Roman" w:hAnsi="Times New Roman" w:cs="仿宋"/>
          <w:color w:val="auto"/>
          <w:sz w:val="24"/>
          <w:lang w:val="en-US" w:eastAsia="zh-CN"/>
        </w:rPr>
        <w:t>不少于</w:t>
      </w:r>
      <w:r>
        <w:rPr>
          <w:rFonts w:hint="eastAsia" w:ascii="Times New Roman" w:hAnsi="Times New Roman" w:eastAsia="宋体" w:cs="仿宋"/>
          <w:color w:val="auto"/>
          <w:sz w:val="24"/>
        </w:rPr>
        <w:t>4小时的基本康复服务，课程设置应符合残疾儿童个性特征，其中个性化服务支持每天不少于1节课40分钟。</w:t>
      </w:r>
    </w:p>
    <w:p w14:paraId="3ECC2479">
      <w:pPr>
        <w:keepNext w:val="0"/>
        <w:keepLines w:val="0"/>
        <w:pageBreakBefore w:val="0"/>
        <w:widowControl w:val="0"/>
        <w:spacing w:line="34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rPr>
        <w:t>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lang w:val="en-US" w:eastAsia="zh-CN"/>
        </w:rPr>
        <w:t>不少于</w:t>
      </w:r>
      <w:r>
        <w:rPr>
          <w:rFonts w:hint="eastAsia" w:ascii="Times New Roman" w:hAnsi="Times New Roman" w:eastAsia="宋体" w:cs="仿宋"/>
          <w:color w:val="auto"/>
          <w:sz w:val="24"/>
        </w:rPr>
        <w:t>20天</w:t>
      </w:r>
      <w:r>
        <w:rPr>
          <w:rFonts w:hint="eastAsia" w:ascii="Times New Roman" w:hAnsi="Times New Roman" w:eastAsia="宋体" w:cs="仿宋"/>
          <w:color w:val="auto"/>
          <w:sz w:val="24"/>
          <w:lang w:val="en-US" w:eastAsia="zh-CN"/>
        </w:rPr>
        <w:t>，</w:t>
      </w:r>
      <w:r>
        <w:rPr>
          <w:rFonts w:hint="eastAsia" w:ascii="Times New Roman" w:hAnsi="Times New Roman" w:eastAsia="宋体" w:cs="仿宋"/>
          <w:color w:val="auto"/>
          <w:sz w:val="24"/>
        </w:rPr>
        <w:t>每天不少于1.5小时，其中个性化服务支持不少于1小时。</w:t>
      </w:r>
    </w:p>
    <w:p w14:paraId="0546F6B8">
      <w:pPr>
        <w:keepNext w:val="0"/>
        <w:keepLines w:val="0"/>
        <w:pageBreakBefore w:val="0"/>
        <w:widowControl w:val="0"/>
        <w:spacing w:line="34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000000"/>
          <w:sz w:val="24"/>
          <w:lang w:val="en-US" w:eastAsia="zh-CN"/>
        </w:rPr>
        <w:t>听力言语残疾儿童辅助器具适配服务、听力残疾儿童人工耳蜗植入手术按照相关规定执行。</w:t>
      </w:r>
    </w:p>
    <w:p w14:paraId="3A7EDEC0">
      <w:pPr>
        <w:keepNext w:val="0"/>
        <w:keepLines w:val="0"/>
        <w:pageBreakBefore w:val="0"/>
        <w:widowControl w:val="0"/>
        <w:spacing w:line="34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（3）残疾儿童自申请之日起一个年度康复服务周期内，只享受一种残疾类别的康复救助，多类别康复救助经费不叠加计算。</w:t>
      </w:r>
    </w:p>
    <w:p w14:paraId="26BBBFD2">
      <w:pPr>
        <w:keepNext w:val="0"/>
        <w:keepLines w:val="0"/>
        <w:pageBreakBefore w:val="0"/>
        <w:widowControl w:val="0"/>
        <w:spacing w:line="340" w:lineRule="exact"/>
        <w:ind w:firstLine="482"/>
        <w:rPr>
          <w:rFonts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六</w:t>
      </w:r>
      <w:r>
        <w:rPr>
          <w:rFonts w:hint="eastAsia" w:ascii="宋体" w:hAnsi="宋体" w:eastAsia="宋体" w:cs="Times New Roman"/>
          <w:b/>
          <w:color w:val="auto"/>
          <w:sz w:val="24"/>
          <w:szCs w:val="24"/>
          <w:highlight w:val="none"/>
          <w:lang w:val="en-US" w:eastAsia="zh-CN"/>
        </w:rPr>
        <w:t>、服务管理与考核</w:t>
      </w:r>
      <w:r>
        <w:rPr>
          <w:rFonts w:hint="eastAsia" w:ascii="宋体" w:hAnsi="宋体" w:cs="Times New Roman"/>
          <w:b/>
          <w:color w:val="auto"/>
          <w:sz w:val="24"/>
          <w:szCs w:val="24"/>
          <w:highlight w:val="none"/>
          <w:lang w:val="en-US" w:eastAsia="zh-CN"/>
        </w:rPr>
        <w:t>（具体详见采购需求）</w:t>
      </w:r>
    </w:p>
    <w:p w14:paraId="70129EE5">
      <w:pPr>
        <w:keepNext w:val="0"/>
        <w:keepLines w:val="0"/>
        <w:pageBreakBefore w:val="0"/>
        <w:widowControl w:val="0"/>
        <w:spacing w:line="340" w:lineRule="exact"/>
        <w:ind w:firstLine="482"/>
        <w:rPr>
          <w:rFonts w:ascii="Times New Roman" w:hAnsi="Times New Roman" w:eastAsia="宋体" w:cs="仿宋"/>
          <w:color w:val="auto"/>
          <w:sz w:val="24"/>
        </w:rPr>
      </w:pPr>
    </w:p>
    <w:p w14:paraId="40B08F77">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七</w:t>
      </w:r>
      <w:r>
        <w:rPr>
          <w:rFonts w:hint="eastAsia" w:ascii="宋体" w:hAnsi="宋体" w:eastAsia="宋体" w:cs="宋体"/>
          <w:b/>
          <w:color w:val="auto"/>
          <w:sz w:val="24"/>
          <w:szCs w:val="24"/>
          <w:lang w:val="en-US" w:eastAsia="zh-CN" w:bidi="ar-SA"/>
        </w:rPr>
        <w:t>、甲方权利与责任</w:t>
      </w:r>
    </w:p>
    <w:p w14:paraId="63D6B114">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p>
    <w:p w14:paraId="386A452A">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有权要求乙方在7天内调换员工（是指在家长满意率调查中，低于90%或同一人员被投诉三次及以上的）；为保持康复服务人员的稳定性，乙方辞退员工须提前征求甲方意见。甲方拥有对乙方的考核权（依据考核条例），乙方须根据甲方要求全面配合并以书面形式提交。</w:t>
      </w:r>
    </w:p>
    <w:p w14:paraId="58500CF7">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3、甲方负责监督乙方关于本项目服务全过程相关工作，包含康复训练、康复医疗、辅助器具适配和其他支持性服务，以及乙方向残疾儿童及其家庭提供康复评估、康复咨询、康复指导和康复宣传服务。</w:t>
      </w:r>
    </w:p>
    <w:p w14:paraId="0165FCBB">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4、积极协调支持帮助乙方解决在管理期间遇到的困难和问题，协助乙方维护正常康复程序。</w:t>
      </w:r>
    </w:p>
    <w:p w14:paraId="0F939F23">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八</w:t>
      </w:r>
      <w:r>
        <w:rPr>
          <w:rFonts w:hint="eastAsia" w:ascii="宋体" w:hAnsi="宋体" w:eastAsia="宋体" w:cs="宋体"/>
          <w:b/>
          <w:color w:val="auto"/>
          <w:sz w:val="24"/>
          <w:szCs w:val="24"/>
          <w:lang w:val="en-US" w:eastAsia="zh-CN" w:bidi="ar-SA"/>
        </w:rPr>
        <w:t>、乙方权利与责任</w:t>
      </w:r>
    </w:p>
    <w:p w14:paraId="10584F6F">
      <w:pPr>
        <w:keepNext w:val="0"/>
        <w:keepLines w:val="0"/>
        <w:pageBreakBefore w:val="0"/>
        <w:widowControl w:val="0"/>
        <w:spacing w:line="380" w:lineRule="exact"/>
        <w:ind w:firstLine="480"/>
        <w:jc w:val="both"/>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p>
    <w:p w14:paraId="6A908294">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保障残疾儿童在乙方场所接受康复服务期间的安全。</w:t>
      </w:r>
    </w:p>
    <w:p w14:paraId="6421A421">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2、建立服务质量管理体系，完善管理制度，健全操作流程及项目档案管理等事务。</w:t>
      </w:r>
    </w:p>
    <w:p w14:paraId="6D925937">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3、乙方服务所有人员应取得国家、行业规定的健康许可证明，健康体检费用由乙方支付，乙方负责派出工作人员职业素质、技能的培训，达到本项目定点机构人员配备上岗标准要求。</w:t>
      </w:r>
    </w:p>
    <w:p w14:paraId="589CCE06">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p>
    <w:p w14:paraId="657CF1B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5、合同期内，甲方若有项目关联的接待服务需要，乙方须全面响应并全力做好保障服务，确保满足甲方服务需求。</w:t>
      </w:r>
    </w:p>
    <w:p w14:paraId="74D0226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乙方负责拟派管理团队所有人员食宿、工资福利、相关社保（含第三方责任险、意外伤害险等）、服装费、管理费、培训费、税费等与本项目运营团队人员管理（不限于下述（1）-（3）项，全面服从甲方本项目运营管理需求）相关的费用。</w:t>
      </w:r>
    </w:p>
    <w:p w14:paraId="5CDBFB09">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（1）乙方须承诺按月发放人员工资，工资总额不得低于现行本地执行最低基础保障工资总额；</w:t>
      </w:r>
    </w:p>
    <w:p w14:paraId="76E9E4C6">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（2）乙方须执行国家社保相关规定，且乙方自行全面承担本项目服务期限内可能产生的安全责任和劳动、经济纠纷等风险责任。</w:t>
      </w:r>
    </w:p>
    <w:p w14:paraId="38509AFE">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（3）乙方根据季节实际，发放员工服装。</w:t>
      </w:r>
    </w:p>
    <w:p w14:paraId="66C17AC5">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p>
    <w:p w14:paraId="03DAA2D9">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九</w:t>
      </w:r>
      <w:r>
        <w:rPr>
          <w:rFonts w:hint="eastAsia" w:ascii="宋体" w:hAnsi="宋体" w:eastAsia="宋体" w:cs="宋体"/>
          <w:b/>
          <w:color w:val="auto"/>
          <w:sz w:val="24"/>
          <w:szCs w:val="24"/>
          <w:lang w:val="en-US" w:eastAsia="zh-CN" w:bidi="ar-SA"/>
        </w:rPr>
        <w:t>、考核</w:t>
      </w:r>
    </w:p>
    <w:p w14:paraId="0DEA0002">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按照相关文件及本合同规定，</w:t>
      </w:r>
      <w:r>
        <w:rPr>
          <w:rFonts w:hint="eastAsia" w:ascii="宋体" w:hAnsi="宋体" w:eastAsia="宋体" w:cs="宋体"/>
          <w:color w:val="auto"/>
          <w:sz w:val="24"/>
          <w:szCs w:val="24"/>
          <w:lang w:val="en-US" w:eastAsia="zh-CN" w:bidi="ar-SA"/>
        </w:rPr>
        <w:t>乙方须全面服从并积极配合考核工作。</w:t>
      </w:r>
    </w:p>
    <w:p w14:paraId="04312F11">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十</w:t>
      </w:r>
      <w:r>
        <w:rPr>
          <w:rFonts w:hint="eastAsia" w:ascii="宋体" w:hAnsi="宋体" w:eastAsia="宋体" w:cs="宋体"/>
          <w:b/>
          <w:color w:val="auto"/>
          <w:sz w:val="24"/>
          <w:szCs w:val="24"/>
          <w:lang w:val="en-US" w:eastAsia="zh-CN" w:bidi="ar-SA"/>
        </w:rPr>
        <w:t>、</w:t>
      </w:r>
      <w:r>
        <w:rPr>
          <w:rFonts w:hint="eastAsia" w:ascii="宋体" w:hAnsi="宋体" w:cs="宋体"/>
          <w:b/>
          <w:color w:val="auto"/>
          <w:sz w:val="24"/>
          <w:szCs w:val="24"/>
          <w:lang w:val="en-US" w:eastAsia="zh-CN" w:bidi="ar-SA"/>
        </w:rPr>
        <w:t>费用支付方式</w:t>
      </w:r>
      <w:r>
        <w:rPr>
          <w:rFonts w:hint="eastAsia" w:ascii="宋体" w:hAnsi="宋体" w:eastAsia="宋体" w:cs="宋体"/>
          <w:b/>
          <w:color w:val="auto"/>
          <w:sz w:val="24"/>
          <w:szCs w:val="24"/>
          <w:lang w:val="en-US" w:eastAsia="zh-CN" w:bidi="ar-SA"/>
        </w:rPr>
        <w:t>：</w:t>
      </w:r>
    </w:p>
    <w:p w14:paraId="13C53930">
      <w:pPr>
        <w:spacing w:line="360" w:lineRule="exact"/>
        <w:ind w:firstLine="482"/>
        <w:rPr>
          <w:rFonts w:hint="eastAsia" w:ascii="Times New Roman" w:hAnsi="Times New Roman" w:eastAsia="宋体" w:cs="仿宋"/>
          <w:color w:val="auto"/>
          <w:sz w:val="24"/>
        </w:rPr>
      </w:pPr>
      <w:r>
        <w:rPr>
          <w:rFonts w:hint="eastAsia" w:ascii="Times New Roman" w:hAnsi="Times New Roman" w:cs="仿宋"/>
          <w:color w:val="auto"/>
          <w:sz w:val="24"/>
          <w:lang w:val="en-US" w:eastAsia="zh-CN"/>
        </w:rPr>
        <w:t>1、</w:t>
      </w:r>
      <w:r>
        <w:rPr>
          <w:rFonts w:hint="eastAsia" w:ascii="Times New Roman" w:hAnsi="Times New Roman" w:eastAsia="宋体" w:cs="仿宋"/>
          <w:color w:val="auto"/>
          <w:sz w:val="24"/>
        </w:rPr>
        <w:t>结算：</w:t>
      </w:r>
    </w:p>
    <w:p w14:paraId="2BDC5060">
      <w:pPr>
        <w:keepNext w:val="0"/>
        <w:keepLines w:val="0"/>
        <w:pageBreakBefore w:val="0"/>
        <w:widowControl w:val="0"/>
        <w:spacing w:line="340" w:lineRule="exact"/>
        <w:ind w:firstLine="482"/>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听力言语康复服务结算价=1.6万元/人/年*实际提供康复服务时间【实际提供康复服务月（日）】；注：前述月（日）须折算成对应的固定单价中的月，此处1年按满额服务9个月计。</w:t>
      </w:r>
    </w:p>
    <w:p w14:paraId="5B703753">
      <w:pPr>
        <w:keepNext w:val="0"/>
        <w:keepLines w:val="0"/>
        <w:pageBreakBefore w:val="0"/>
        <w:widowControl w:val="0"/>
        <w:spacing w:line="340" w:lineRule="exact"/>
        <w:ind w:firstLine="482"/>
        <w:rPr>
          <w:rFonts w:ascii="Times New Roman" w:hAnsi="Times New Roman" w:eastAsia="宋体" w:cs="仿宋"/>
          <w:color w:val="000000"/>
          <w:sz w:val="24"/>
        </w:rPr>
      </w:pPr>
      <w:r>
        <w:rPr>
          <w:rFonts w:hint="eastAsia" w:ascii="Times New Roman" w:hAnsi="Times New Roman" w:eastAsia="宋体" w:cs="仿宋"/>
          <w:color w:val="000000"/>
          <w:sz w:val="24"/>
        </w:rPr>
        <w:t>注：非全日制残疾儿童康复救助经费标准按照康复类别全日制救助标准的90%，结算年度康复救助经费。本项目以实际发生的服务进行结算。</w:t>
      </w:r>
    </w:p>
    <w:p w14:paraId="5B9D358C">
      <w:pPr>
        <w:spacing w:line="360" w:lineRule="exact"/>
        <w:ind w:firstLine="482"/>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2、付款方式：</w:t>
      </w:r>
    </w:p>
    <w:p w14:paraId="13EFBE45">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预付款：</w:t>
      </w:r>
      <w:r>
        <w:rPr>
          <w:rFonts w:hint="eastAsia" w:ascii="Times New Roman" w:hAnsi="Times New Roman" w:eastAsia="宋体" w:cs="仿宋"/>
          <w:color w:val="auto"/>
          <w:sz w:val="24"/>
          <w:lang w:val="en-US" w:eastAsia="zh-CN"/>
        </w:rPr>
        <w:t>合同签订且收到供应商发票后15个工作日内预付合同总价款的10%</w:t>
      </w:r>
      <w:r>
        <w:rPr>
          <w:rFonts w:hint="eastAsia" w:ascii="Times New Roman" w:hAnsi="Times New Roman" w:eastAsia="宋体" w:cs="仿宋"/>
          <w:color w:val="auto"/>
          <w:sz w:val="24"/>
        </w:rPr>
        <w:t xml:space="preserve">； </w:t>
      </w:r>
    </w:p>
    <w:p w14:paraId="3FEB67C3">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5</w:t>
      </w:r>
      <w:r>
        <w:rPr>
          <w:rFonts w:hint="eastAsia" w:ascii="Times New Roman" w:hAnsi="Times New Roman" w:eastAsia="宋体" w:cs="仿宋"/>
          <w:color w:val="auto"/>
          <w:sz w:val="24"/>
        </w:rPr>
        <w:t>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p>
    <w:p w14:paraId="6BAA4AC7">
      <w:pPr>
        <w:spacing w:line="360" w:lineRule="exact"/>
        <w:ind w:firstLine="482"/>
        <w:rPr>
          <w:rFonts w:ascii="Times New Roman" w:hAnsi="Times New Roman" w:eastAsia="宋体" w:cs="仿宋"/>
          <w:color w:val="auto"/>
          <w:sz w:val="24"/>
        </w:rPr>
      </w:pPr>
      <w:r>
        <w:rPr>
          <w:rFonts w:hint="eastAsia" w:ascii="Times New Roman" w:hAnsi="Times New Roman" w:eastAsia="宋体" w:cs="仿宋"/>
          <w:color w:val="auto"/>
          <w:sz w:val="24"/>
        </w:rPr>
        <w:t>（注：在签订合同时，中标人明确表示无需预付款或者主动要求降低预付款比例的金额，采购人可不适用预付款规定。）</w:t>
      </w:r>
    </w:p>
    <w:p w14:paraId="7F0844C9">
      <w:pPr>
        <w:keepNext w:val="0"/>
        <w:keepLines w:val="0"/>
        <w:pageBreakBefore w:val="0"/>
        <w:widowControl w:val="0"/>
        <w:spacing w:line="380" w:lineRule="exact"/>
        <w:ind w:firstLine="470"/>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一</w:t>
      </w:r>
      <w:r>
        <w:rPr>
          <w:rFonts w:hint="eastAsia" w:ascii="宋体" w:hAnsi="宋体" w:eastAsia="宋体" w:cs="宋体"/>
          <w:b/>
          <w:color w:val="auto"/>
          <w:sz w:val="24"/>
          <w:szCs w:val="24"/>
          <w:lang w:val="en-US" w:eastAsia="zh-CN" w:bidi="ar-SA"/>
        </w:rPr>
        <w:t>、履约保证金</w:t>
      </w:r>
    </w:p>
    <w:p w14:paraId="69069D04">
      <w:pPr>
        <w:keepNext w:val="0"/>
        <w:keepLines w:val="0"/>
        <w:pageBreakBefore w:val="0"/>
        <w:widowControl w:val="0"/>
        <w:spacing w:line="380" w:lineRule="exact"/>
        <w:ind w:firstLine="480"/>
        <w:rPr>
          <w:rFonts w:eastAsia="宋体" w:cs="Times New Roman"/>
          <w:bCs/>
          <w:color w:val="auto"/>
          <w:sz w:val="24"/>
        </w:rPr>
      </w:pPr>
      <w:r>
        <w:rPr>
          <w:rFonts w:hint="eastAsia" w:eastAsia="宋体" w:cs="Times New Roman"/>
          <w:bCs/>
          <w:color w:val="auto"/>
          <w:sz w:val="24"/>
          <w:lang w:val="zh-CN"/>
        </w:rPr>
        <w:t>本项目不</w:t>
      </w:r>
      <w:r>
        <w:rPr>
          <w:rFonts w:hint="eastAsia" w:eastAsia="宋体" w:cs="Times New Roman"/>
          <w:bCs/>
          <w:color w:val="auto"/>
          <w:sz w:val="24"/>
          <w:lang w:val="en-US" w:eastAsia="zh-CN"/>
        </w:rPr>
        <w:t>收取</w:t>
      </w:r>
      <w:r>
        <w:rPr>
          <w:rFonts w:hint="eastAsia" w:eastAsia="宋体" w:cs="Times New Roman"/>
          <w:bCs/>
          <w:color w:val="auto"/>
          <w:sz w:val="24"/>
          <w:lang w:val="zh-CN"/>
        </w:rPr>
        <w:t>履约保证金。</w:t>
      </w:r>
    </w:p>
    <w:p w14:paraId="796911EF">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二</w:t>
      </w:r>
      <w:r>
        <w:rPr>
          <w:rFonts w:hint="eastAsia" w:ascii="宋体" w:hAnsi="宋体" w:eastAsia="宋体" w:cs="宋体"/>
          <w:b/>
          <w:color w:val="auto"/>
          <w:sz w:val="24"/>
          <w:szCs w:val="24"/>
          <w:lang w:val="en-US" w:eastAsia="zh-CN" w:bidi="ar-SA"/>
        </w:rPr>
        <w:t>、违约责任</w:t>
      </w:r>
    </w:p>
    <w:p w14:paraId="13B9C854">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1、合同履行过程中，如乙方擅自终止合同，乙方须向甲方支付违约金5万元整。</w:t>
      </w:r>
    </w:p>
    <w:p w14:paraId="324CF560">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2、乙方不按期完成合同约定的内容，应向甲方支付违约金，除甲方或不可抗力造成原因外，每延迟交付一天，按合同总价款的1%支付违约金；延期超过3日，甲方有权强制解除合同。</w:t>
      </w:r>
    </w:p>
    <w:p w14:paraId="02106DA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3、非因甲方原因，乙方不履行本合同规定的义务，导致产生较大社会负面影响，甲方有权要求其强制履行或解除合同，并要求乙方等额赔偿由此造成的一切损失。</w:t>
      </w:r>
    </w:p>
    <w:p w14:paraId="1848B5E3">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4、本项目不得转让分包，如有发生，无条件取消定点机构资格，已产生的康复服务费用不予支付，所造成的一切损失由乙方负责。</w:t>
      </w:r>
    </w:p>
    <w:p w14:paraId="2937A2CB">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三</w:t>
      </w:r>
      <w:r>
        <w:rPr>
          <w:rFonts w:hint="eastAsia" w:ascii="宋体" w:hAnsi="宋体" w:eastAsia="宋体" w:cs="宋体"/>
          <w:b/>
          <w:color w:val="auto"/>
          <w:sz w:val="24"/>
          <w:szCs w:val="24"/>
          <w:lang w:val="en-US" w:eastAsia="zh-CN" w:bidi="ar-SA"/>
        </w:rPr>
        <w:t>、合同生效及审核</w:t>
      </w:r>
    </w:p>
    <w:p w14:paraId="1ECCAD43">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本合同经甲方、乙方签字盖章后生效，合同签订的内容不能超出招标文件和投标文件的实质性内容。</w:t>
      </w:r>
    </w:p>
    <w:p w14:paraId="16610FB4">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四</w:t>
      </w:r>
      <w:r>
        <w:rPr>
          <w:rFonts w:hint="eastAsia" w:ascii="宋体" w:hAnsi="宋体" w:eastAsia="宋体" w:cs="宋体"/>
          <w:b/>
          <w:color w:val="auto"/>
          <w:sz w:val="24"/>
          <w:szCs w:val="24"/>
          <w:lang w:val="en-US" w:eastAsia="zh-CN" w:bidi="ar-SA"/>
        </w:rPr>
        <w:t>、合同的组成部分</w:t>
      </w:r>
    </w:p>
    <w:p w14:paraId="22FA46D4">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本合同条款、中标通知书、招标文件、投标文件及</w:t>
      </w:r>
      <w:r>
        <w:rPr>
          <w:rFonts w:hint="eastAsia" w:ascii="宋体" w:hAnsi="宋体" w:cs="宋体"/>
          <w:color w:val="auto"/>
          <w:sz w:val="24"/>
          <w:szCs w:val="24"/>
          <w:lang w:val="en-US" w:eastAsia="zh-CN" w:bidi="ar-SA"/>
        </w:rPr>
        <w:t>乙方</w:t>
      </w:r>
      <w:r>
        <w:rPr>
          <w:rFonts w:hint="eastAsia" w:ascii="宋体" w:hAnsi="宋体" w:eastAsia="宋体" w:cs="宋体"/>
          <w:color w:val="auto"/>
          <w:sz w:val="24"/>
          <w:szCs w:val="24"/>
          <w:lang w:val="en-US" w:eastAsia="zh-CN" w:bidi="ar-SA"/>
        </w:rPr>
        <w:t>在招标时的书面承诺等构成合同的组成部分。</w:t>
      </w:r>
    </w:p>
    <w:p w14:paraId="342D13F2">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五</w:t>
      </w:r>
      <w:r>
        <w:rPr>
          <w:rFonts w:hint="eastAsia" w:ascii="宋体" w:hAnsi="宋体" w:eastAsia="宋体" w:cs="宋体"/>
          <w:b/>
          <w:color w:val="auto"/>
          <w:sz w:val="24"/>
          <w:szCs w:val="24"/>
          <w:lang w:val="en-US" w:eastAsia="zh-CN" w:bidi="ar-SA"/>
        </w:rPr>
        <w:t>、合同份数</w:t>
      </w:r>
    </w:p>
    <w:p w14:paraId="3BF74FE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本合同一式陆份，以中文书写，甲方、乙方各执叁份。</w:t>
      </w:r>
    </w:p>
    <w:p w14:paraId="6566410E">
      <w:pPr>
        <w:keepNext w:val="0"/>
        <w:keepLines w:val="0"/>
        <w:pageBreakBefore w:val="0"/>
        <w:widowControl w:val="0"/>
        <w:spacing w:line="380" w:lineRule="exact"/>
        <w:ind w:firstLine="482"/>
        <w:jc w:val="both"/>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六</w:t>
      </w:r>
      <w:r>
        <w:rPr>
          <w:rFonts w:hint="eastAsia" w:ascii="宋体" w:hAnsi="宋体" w:eastAsia="宋体" w:cs="宋体"/>
          <w:b/>
          <w:color w:val="auto"/>
          <w:sz w:val="24"/>
          <w:szCs w:val="24"/>
          <w:lang w:val="en-US" w:eastAsia="zh-CN" w:bidi="ar-SA"/>
        </w:rPr>
        <w:t>、</w:t>
      </w:r>
      <w:r>
        <w:rPr>
          <w:rFonts w:hint="eastAsia" w:ascii="宋体" w:hAnsi="宋体" w:cs="宋体"/>
          <w:b/>
          <w:color w:val="auto"/>
          <w:sz w:val="24"/>
          <w:szCs w:val="24"/>
          <w:lang w:val="en-US" w:eastAsia="zh-CN" w:bidi="ar-SA"/>
        </w:rPr>
        <w:t>如遇政策调整，按新文件执行，相关事宜协商解决。</w:t>
      </w:r>
    </w:p>
    <w:p w14:paraId="5C9BB526">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十七、</w:t>
      </w:r>
      <w:r>
        <w:rPr>
          <w:rFonts w:hint="eastAsia" w:ascii="宋体" w:hAnsi="宋体" w:eastAsia="宋体" w:cs="宋体"/>
          <w:b/>
          <w:color w:val="auto"/>
          <w:sz w:val="24"/>
          <w:szCs w:val="24"/>
          <w:lang w:val="en-US" w:eastAsia="zh-CN" w:bidi="ar-SA"/>
        </w:rPr>
        <w:t>本合同一切未尽事宜，按《中华人民共和国民法典（合同编）》有关规定执行，无相关规定的，由甲乙双方协商解决。</w:t>
      </w:r>
    </w:p>
    <w:p w14:paraId="38AD43D7">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八</w:t>
      </w:r>
      <w:r>
        <w:rPr>
          <w:rFonts w:hint="eastAsia" w:ascii="宋体" w:hAnsi="宋体" w:eastAsia="宋体" w:cs="宋体"/>
          <w:b/>
          <w:color w:val="auto"/>
          <w:sz w:val="24"/>
          <w:szCs w:val="24"/>
          <w:lang w:val="en-US" w:eastAsia="zh-CN" w:bidi="ar-SA"/>
        </w:rPr>
        <w:t>、误期赔偿</w:t>
      </w:r>
    </w:p>
    <w:p w14:paraId="5FD2A5B2">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除合同规定外，如果乙方没有按照合同规定的时间提供服务，甲方将按比例选择合同款中扣除误期赔偿费，一旦乙方应承担的误期赔偿费用达到合同价的5%以上时，甲方有权终止合同。</w:t>
      </w:r>
    </w:p>
    <w:p w14:paraId="3E88B4F2">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九</w:t>
      </w:r>
      <w:r>
        <w:rPr>
          <w:rFonts w:hint="eastAsia" w:ascii="宋体" w:hAnsi="宋体" w:eastAsia="宋体" w:cs="宋体"/>
          <w:b/>
          <w:color w:val="auto"/>
          <w:sz w:val="24"/>
          <w:szCs w:val="24"/>
          <w:lang w:val="en-US" w:eastAsia="zh-CN" w:bidi="ar-SA"/>
        </w:rPr>
        <w:t>、不可抗力</w:t>
      </w:r>
    </w:p>
    <w:p w14:paraId="22B739CF">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p>
    <w:p w14:paraId="64581B91">
      <w:pPr>
        <w:keepNext w:val="0"/>
        <w:keepLines w:val="0"/>
        <w:pageBreakBefore w:val="0"/>
        <w:widowControl w:val="0"/>
        <w:spacing w:line="380" w:lineRule="exact"/>
        <w:ind w:firstLine="482"/>
        <w:jc w:val="both"/>
        <w:rPr>
          <w:rFonts w:ascii="宋体" w:hAnsi="宋体" w:eastAsia="宋体" w:cs="宋体"/>
          <w:color w:val="auto"/>
          <w:sz w:val="24"/>
          <w:szCs w:val="24"/>
          <w:lang w:val="en-US" w:eastAsia="zh-CN" w:bidi="ar-SA"/>
        </w:rPr>
      </w:pPr>
      <w:r>
        <w:rPr>
          <w:rFonts w:hint="eastAsia" w:ascii="宋体" w:hAnsi="宋体" w:cs="宋体"/>
          <w:b/>
          <w:color w:val="auto"/>
          <w:sz w:val="24"/>
          <w:szCs w:val="24"/>
          <w:lang w:val="en-US" w:eastAsia="zh-CN" w:bidi="ar-SA"/>
        </w:rPr>
        <w:t>二</w:t>
      </w:r>
      <w:r>
        <w:rPr>
          <w:rFonts w:hint="eastAsia" w:ascii="宋体" w:hAnsi="宋体" w:eastAsia="宋体" w:cs="宋体"/>
          <w:b/>
          <w:color w:val="auto"/>
          <w:sz w:val="24"/>
          <w:szCs w:val="24"/>
          <w:lang w:val="en-US" w:eastAsia="zh-CN" w:bidi="ar-SA"/>
        </w:rPr>
        <w:t>十、税费</w:t>
      </w:r>
    </w:p>
    <w:p w14:paraId="4CA3695D">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中国政府根据现行税法规定对甲方征收的与本合同有关的一切税费由甲方负担；规定对乙方征收的与本合同有关的一切税费由乙方负担。</w:t>
      </w:r>
    </w:p>
    <w:p w14:paraId="01059A26">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二十</w:t>
      </w:r>
      <w:r>
        <w:rPr>
          <w:rFonts w:hint="eastAsia" w:ascii="宋体" w:hAnsi="宋体" w:cs="宋体"/>
          <w:b/>
          <w:color w:val="auto"/>
          <w:sz w:val="24"/>
          <w:szCs w:val="24"/>
          <w:lang w:val="en-US" w:eastAsia="zh-CN" w:bidi="ar-SA"/>
        </w:rPr>
        <w:t>一</w:t>
      </w:r>
      <w:r>
        <w:rPr>
          <w:rFonts w:hint="eastAsia" w:ascii="宋体" w:hAnsi="宋体" w:eastAsia="宋体" w:cs="宋体"/>
          <w:b/>
          <w:color w:val="auto"/>
          <w:sz w:val="24"/>
          <w:szCs w:val="24"/>
          <w:lang w:val="en-US" w:eastAsia="zh-CN" w:bidi="ar-SA"/>
        </w:rPr>
        <w:t>、合同争议</w:t>
      </w:r>
    </w:p>
    <w:p w14:paraId="2CC61111">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甲乙双方应通过友好协商，解决在执行本合同中所发生的或与本合同有关的一切争议。如果协商仍得不到解决，任何一方均可依法向宿迁市沭阳县人民法院起诉。</w:t>
      </w:r>
    </w:p>
    <w:p w14:paraId="2DB658BF">
      <w:pPr>
        <w:keepNext w:val="0"/>
        <w:keepLines w:val="0"/>
        <w:pageBreakBefore w:val="0"/>
        <w:widowControl w:val="0"/>
        <w:spacing w:line="380" w:lineRule="exact"/>
        <w:ind w:firstLine="482"/>
        <w:jc w:val="both"/>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二</w:t>
      </w:r>
      <w:r>
        <w:rPr>
          <w:rFonts w:hint="eastAsia" w:ascii="宋体" w:hAnsi="宋体" w:eastAsia="宋体" w:cs="宋体"/>
          <w:b/>
          <w:color w:val="auto"/>
          <w:sz w:val="24"/>
          <w:szCs w:val="24"/>
          <w:lang w:val="en-US" w:eastAsia="zh-CN" w:bidi="ar-SA"/>
        </w:rPr>
        <w:t>十</w:t>
      </w:r>
      <w:r>
        <w:rPr>
          <w:rFonts w:hint="eastAsia" w:ascii="宋体" w:hAnsi="宋体" w:cs="宋体"/>
          <w:b/>
          <w:color w:val="auto"/>
          <w:sz w:val="24"/>
          <w:szCs w:val="24"/>
          <w:lang w:val="en-US" w:eastAsia="zh-CN" w:bidi="ar-SA"/>
        </w:rPr>
        <w:t>二</w:t>
      </w:r>
      <w:r>
        <w:rPr>
          <w:rFonts w:hint="eastAsia" w:ascii="宋体" w:hAnsi="宋体" w:eastAsia="宋体" w:cs="宋体"/>
          <w:b/>
          <w:color w:val="auto"/>
          <w:sz w:val="24"/>
          <w:szCs w:val="24"/>
          <w:lang w:val="en-US" w:eastAsia="zh-CN" w:bidi="ar-SA"/>
        </w:rPr>
        <w:t>、适用法律</w:t>
      </w:r>
    </w:p>
    <w:p w14:paraId="75DFA1D0">
      <w:pPr>
        <w:keepNext w:val="0"/>
        <w:keepLines w:val="0"/>
        <w:pageBreakBefore w:val="0"/>
        <w:widowControl w:val="0"/>
        <w:spacing w:line="380" w:lineRule="exact"/>
        <w:ind w:firstLine="48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本合同应按照中华人民共和国的现行法律进行解释。</w:t>
      </w:r>
    </w:p>
    <w:p w14:paraId="284D4764">
      <w:pPr>
        <w:widowControl w:val="0"/>
        <w:spacing w:line="480" w:lineRule="exact"/>
        <w:ind w:firstLine="480"/>
        <w:jc w:val="both"/>
        <w:rPr>
          <w:rFonts w:hint="eastAsia" w:ascii="宋体" w:hAnsi="宋体" w:eastAsia="宋体" w:cs="宋体"/>
          <w:color w:val="auto"/>
          <w:sz w:val="24"/>
          <w:szCs w:val="24"/>
          <w:lang w:val="en-US" w:eastAsia="zh-CN" w:bidi="ar-SA"/>
        </w:rPr>
      </w:pPr>
    </w:p>
    <w:p w14:paraId="39C18063">
      <w:pPr>
        <w:widowControl w:val="0"/>
        <w:spacing w:line="480" w:lineRule="exact"/>
        <w:ind w:firstLine="240" w:firstLineChars="10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甲方：（盖章）                         乙方：（盖章）</w:t>
      </w:r>
    </w:p>
    <w:p w14:paraId="35A8D916">
      <w:pPr>
        <w:widowControl/>
        <w:spacing w:line="480" w:lineRule="exact"/>
        <w:ind w:firstLine="240" w:firstLineChars="10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法定（授权）代表人：                   法定（授权）代表人：</w:t>
      </w:r>
    </w:p>
    <w:p w14:paraId="0CE056C2">
      <w:pPr>
        <w:widowControl/>
        <w:spacing w:line="480" w:lineRule="exact"/>
        <w:ind w:firstLine="240" w:firstLineChars="10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联系人：                               联系人：</w:t>
      </w:r>
    </w:p>
    <w:p w14:paraId="0CB8CC47">
      <w:pPr>
        <w:widowControl/>
        <w:spacing w:line="480" w:lineRule="exact"/>
        <w:ind w:firstLine="240" w:firstLineChars="100"/>
        <w:jc w:val="both"/>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联系电话：                             联系电话：</w:t>
      </w:r>
    </w:p>
    <w:p w14:paraId="67F9F04E">
      <w:pPr>
        <w:widowControl/>
        <w:spacing w:line="480" w:lineRule="exact"/>
        <w:ind w:firstLine="240" w:firstLineChars="100"/>
        <w:jc w:val="both"/>
        <w:rPr>
          <w:color w:val="auto"/>
        </w:rPr>
      </w:pPr>
      <w:r>
        <w:rPr>
          <w:rFonts w:hint="eastAsia" w:ascii="宋体" w:hAnsi="宋体" w:eastAsia="宋体" w:cs="宋体"/>
          <w:color w:val="auto"/>
          <w:sz w:val="24"/>
          <w:szCs w:val="24"/>
          <w:lang w:val="en-US" w:eastAsia="zh-CN" w:bidi="ar-SA"/>
        </w:rPr>
        <w:t>日期：</w:t>
      </w:r>
      <w:r>
        <w:rPr>
          <w:rFonts w:hint="eastAsia" w:ascii="宋体" w:hAnsi="宋体" w:cs="宋体"/>
          <w:color w:val="auto"/>
          <w:sz w:val="24"/>
          <w:szCs w:val="24"/>
          <w:lang w:val="en-US" w:eastAsia="zh-CN" w:bidi="ar-SA"/>
        </w:rPr>
        <w:t>2026年 月 日</w:t>
      </w:r>
      <w:r>
        <w:rPr>
          <w:rFonts w:hint="eastAsia" w:ascii="宋体" w:hAnsi="宋体" w:eastAsia="宋体" w:cs="宋体"/>
          <w:color w:val="auto"/>
          <w:sz w:val="24"/>
          <w:szCs w:val="24"/>
          <w:lang w:val="en-US" w:eastAsia="zh-CN" w:bidi="ar-SA"/>
        </w:rPr>
        <w:t xml:space="preserve">                 日期：</w:t>
      </w:r>
      <w:r>
        <w:rPr>
          <w:rFonts w:hint="eastAsia" w:ascii="宋体" w:hAnsi="宋体" w:cs="宋体"/>
          <w:color w:val="auto"/>
          <w:sz w:val="24"/>
          <w:szCs w:val="24"/>
          <w:lang w:val="en-US" w:eastAsia="zh-CN" w:bidi="ar-SA"/>
        </w:rPr>
        <w:t>2026年 月 日</w:t>
      </w:r>
      <w:r>
        <w:rPr>
          <w:rFonts w:hint="eastAsia" w:ascii="宋体" w:hAnsi="宋体" w:eastAsia="宋体" w:cs="宋体"/>
          <w:color w:val="auto"/>
          <w:sz w:val="24"/>
          <w:szCs w:val="24"/>
          <w:lang w:val="en-US" w:eastAsia="zh-CN" w:bidi="ar-SA"/>
        </w:rPr>
        <w:t xml:space="preserve">    </w:t>
      </w:r>
    </w:p>
    <w:p w14:paraId="06A53580"/>
    <w:p w14:paraId="62FAE849">
      <w:pPr>
        <w:spacing w:before="120" w:after="120" w:line="0" w:lineRule="atLeast"/>
        <w:jc w:val="center"/>
        <w:rPr>
          <w:rFonts w:hint="eastAsia" w:ascii="宋体" w:hAnsi="宋体" w:eastAsia="宋体" w:cs="宋体"/>
          <w:bCs/>
          <w:color w:val="auto"/>
          <w:sz w:val="44"/>
          <w:szCs w:val="21"/>
          <w:highlight w:val="none"/>
        </w:rPr>
      </w:pPr>
    </w:p>
    <w:p w14:paraId="2406B15A">
      <w:pPr>
        <w:spacing w:before="120" w:after="120" w:line="0" w:lineRule="atLeast"/>
        <w:jc w:val="center"/>
        <w:rPr>
          <w:rFonts w:hint="eastAsia" w:ascii="宋体" w:hAnsi="宋体" w:eastAsia="宋体" w:cs="宋体"/>
          <w:bCs/>
          <w:color w:val="auto"/>
          <w:sz w:val="44"/>
          <w:szCs w:val="21"/>
          <w:highlight w:val="none"/>
        </w:rPr>
      </w:pPr>
      <w:r>
        <w:rPr>
          <w:rFonts w:hint="eastAsia" w:ascii="宋体" w:hAnsi="宋体" w:eastAsia="宋体" w:cs="宋体"/>
          <w:b/>
          <w:bCs/>
          <w:color w:val="auto"/>
          <w:sz w:val="44"/>
          <w:szCs w:val="44"/>
          <w:highlight w:val="none"/>
        </w:rPr>
        <w:t>第</w:t>
      </w:r>
      <w:r>
        <w:rPr>
          <w:rFonts w:hint="eastAsia" w:ascii="宋体" w:hAnsi="宋体" w:cs="宋体"/>
          <w:b/>
          <w:bCs/>
          <w:color w:val="auto"/>
          <w:sz w:val="44"/>
          <w:szCs w:val="44"/>
          <w:highlight w:val="none"/>
          <w:lang w:val="en-US" w:eastAsia="zh-CN"/>
        </w:rPr>
        <w:t>五</w:t>
      </w:r>
      <w:r>
        <w:rPr>
          <w:rFonts w:hint="eastAsia" w:ascii="宋体" w:hAnsi="宋体" w:eastAsia="宋体" w:cs="宋体"/>
          <w:b/>
          <w:bCs/>
          <w:color w:val="auto"/>
          <w:sz w:val="44"/>
          <w:szCs w:val="44"/>
          <w:highlight w:val="none"/>
        </w:rPr>
        <w:t>章  响应文件格式</w:t>
      </w:r>
    </w:p>
    <w:p w14:paraId="5F6A8CA1">
      <w:pPr>
        <w:spacing w:before="120" w:after="120" w:line="0" w:lineRule="atLeast"/>
        <w:jc w:val="center"/>
        <w:rPr>
          <w:rFonts w:hint="eastAsia" w:ascii="宋体" w:hAnsi="宋体" w:eastAsia="宋体" w:cs="宋体"/>
          <w:bCs/>
          <w:color w:val="auto"/>
          <w:sz w:val="44"/>
          <w:szCs w:val="21"/>
          <w:highlight w:val="none"/>
        </w:rPr>
      </w:pPr>
    </w:p>
    <w:bookmarkEnd w:id="156"/>
    <w:bookmarkEnd w:id="157"/>
    <w:bookmarkEnd w:id="158"/>
    <w:bookmarkEnd w:id="159"/>
    <w:p w14:paraId="1343AFCD">
      <w:pPr>
        <w:jc w:val="center"/>
        <w:rPr>
          <w:rFonts w:hint="eastAsia" w:ascii="宋体" w:hAnsi="宋体" w:eastAsia="宋体" w:cs="宋体"/>
          <w:b/>
          <w:color w:val="auto"/>
          <w:sz w:val="72"/>
          <w:szCs w:val="21"/>
          <w:highlight w:val="none"/>
        </w:rPr>
      </w:pPr>
      <w:bookmarkStart w:id="164" w:name="_Hlt26671244"/>
      <w:bookmarkEnd w:id="164"/>
      <w:bookmarkStart w:id="165" w:name="_Hlt26955039"/>
      <w:bookmarkEnd w:id="165"/>
      <w:bookmarkStart w:id="166" w:name="_Toc49090576"/>
      <w:bookmarkStart w:id="167" w:name="_Toc120614282"/>
      <w:bookmarkStart w:id="168" w:name="_Toc26554094"/>
    </w:p>
    <w:p w14:paraId="0D0E2B75">
      <w:pPr>
        <w:jc w:val="center"/>
        <w:rPr>
          <w:rFonts w:hint="eastAsia" w:ascii="宋体" w:hAnsi="宋体" w:eastAsia="宋体" w:cs="宋体"/>
          <w:b/>
          <w:color w:val="auto"/>
          <w:sz w:val="72"/>
          <w:szCs w:val="21"/>
          <w:highlight w:val="none"/>
        </w:rPr>
      </w:pPr>
    </w:p>
    <w:p w14:paraId="0D27C68A">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响  应  文  件</w:t>
      </w:r>
    </w:p>
    <w:p w14:paraId="3E1BCD1F">
      <w:pPr>
        <w:jc w:val="center"/>
        <w:rPr>
          <w:rFonts w:hint="eastAsia" w:ascii="宋体" w:hAnsi="宋体" w:eastAsia="宋体" w:cs="宋体"/>
          <w:b/>
          <w:color w:val="auto"/>
          <w:sz w:val="72"/>
          <w:szCs w:val="21"/>
          <w:highlight w:val="none"/>
        </w:rPr>
      </w:pPr>
    </w:p>
    <w:p w14:paraId="44BB6FD3">
      <w:pPr>
        <w:jc w:val="center"/>
        <w:rPr>
          <w:rFonts w:hint="eastAsia" w:ascii="宋体" w:hAnsi="宋体" w:eastAsia="宋体" w:cs="宋体"/>
          <w:b/>
          <w:color w:val="auto"/>
          <w:sz w:val="72"/>
          <w:szCs w:val="21"/>
          <w:highlight w:val="none"/>
        </w:rPr>
      </w:pPr>
    </w:p>
    <w:p w14:paraId="22F13C1B">
      <w:pPr>
        <w:jc w:val="center"/>
        <w:rPr>
          <w:rFonts w:hint="eastAsia" w:ascii="宋体" w:hAnsi="宋体" w:eastAsia="宋体" w:cs="宋体"/>
          <w:b/>
          <w:color w:val="auto"/>
          <w:sz w:val="36"/>
          <w:szCs w:val="21"/>
          <w:highlight w:val="none"/>
        </w:rPr>
      </w:pPr>
    </w:p>
    <w:p w14:paraId="04988C55">
      <w:pPr>
        <w:jc w:val="center"/>
        <w:rPr>
          <w:rFonts w:hint="eastAsia" w:ascii="宋体" w:hAnsi="宋体" w:eastAsia="宋体" w:cs="宋体"/>
          <w:b/>
          <w:color w:val="auto"/>
          <w:sz w:val="36"/>
          <w:szCs w:val="21"/>
          <w:highlight w:val="none"/>
        </w:rPr>
      </w:pPr>
    </w:p>
    <w:p w14:paraId="432453C8">
      <w:pPr>
        <w:jc w:val="center"/>
        <w:rPr>
          <w:rFonts w:hint="eastAsia" w:ascii="宋体" w:hAnsi="宋体" w:eastAsia="宋体" w:cs="宋体"/>
          <w:b/>
          <w:color w:val="auto"/>
          <w:sz w:val="36"/>
          <w:szCs w:val="21"/>
          <w:highlight w:val="none"/>
        </w:rPr>
      </w:pPr>
    </w:p>
    <w:p w14:paraId="56B4C18F">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1E0FD5F6">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采 购 编 号：</w:t>
      </w:r>
      <w:r>
        <w:rPr>
          <w:rFonts w:hint="eastAsia" w:ascii="宋体" w:hAnsi="宋体" w:eastAsia="宋体" w:cs="宋体"/>
          <w:b/>
          <w:color w:val="auto"/>
          <w:sz w:val="36"/>
          <w:szCs w:val="21"/>
          <w:highlight w:val="none"/>
          <w:u w:val="single"/>
        </w:rPr>
        <w:t xml:space="preserve">               </w:t>
      </w:r>
    </w:p>
    <w:p w14:paraId="139A63BD">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（加盖CA电子公章）</w:t>
      </w:r>
    </w:p>
    <w:p w14:paraId="31F648D0">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7CBAF416">
      <w:pPr>
        <w:spacing w:line="440" w:lineRule="exact"/>
        <w:jc w:val="center"/>
        <w:rPr>
          <w:rFonts w:hint="eastAsia" w:ascii="宋体" w:hAnsi="宋体" w:eastAsia="宋体" w:cs="宋体"/>
          <w:b/>
          <w:bCs/>
          <w:color w:val="auto"/>
          <w:sz w:val="32"/>
          <w:szCs w:val="32"/>
          <w:highlight w:val="none"/>
        </w:rPr>
      </w:pPr>
    </w:p>
    <w:p w14:paraId="4EB54D08">
      <w:pPr>
        <w:spacing w:line="440" w:lineRule="exact"/>
        <w:rPr>
          <w:rFonts w:hint="eastAsia" w:ascii="宋体" w:hAnsi="宋体" w:eastAsia="宋体" w:cs="宋体"/>
          <w:color w:val="auto"/>
          <w:szCs w:val="21"/>
          <w:highlight w:val="none"/>
        </w:rPr>
      </w:pPr>
    </w:p>
    <w:p w14:paraId="6A813B86">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p>
    <w:p w14:paraId="74CC23F9">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响应文件目录</w:t>
      </w:r>
    </w:p>
    <w:p w14:paraId="16CA010E">
      <w:pPr>
        <w:spacing w:line="440" w:lineRule="exact"/>
        <w:jc w:val="center"/>
        <w:rPr>
          <w:rFonts w:hint="eastAsia" w:ascii="宋体" w:hAnsi="宋体" w:eastAsia="宋体" w:cs="宋体"/>
          <w:b/>
          <w:bCs/>
          <w:color w:val="auto"/>
          <w:sz w:val="32"/>
          <w:szCs w:val="32"/>
          <w:highlight w:val="none"/>
        </w:rPr>
      </w:pPr>
    </w:p>
    <w:p w14:paraId="0AE94A4B">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一、协商及声明函</w:t>
      </w:r>
    </w:p>
    <w:p w14:paraId="61C9D948">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二、供应商基本信息</w:t>
      </w:r>
    </w:p>
    <w:p w14:paraId="7C810564">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三、特定资格要求的证明文件</w:t>
      </w:r>
    </w:p>
    <w:p w14:paraId="71216267">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四、法人授权书</w:t>
      </w:r>
    </w:p>
    <w:p w14:paraId="0F09B5EC">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五、开标一览表</w:t>
      </w:r>
    </w:p>
    <w:p w14:paraId="5DDB23C1">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highlight w:val="none"/>
        </w:rPr>
      </w:pPr>
      <w:r>
        <w:rPr>
          <w:rFonts w:hint="eastAsia" w:ascii="宋体" w:hAnsi="宋体" w:eastAsia="宋体" w:cs="宋体"/>
          <w:color w:val="auto"/>
          <w:sz w:val="24"/>
        </w:rPr>
        <w:t>六、</w:t>
      </w:r>
      <w:r>
        <w:rPr>
          <w:rFonts w:hint="eastAsia" w:ascii="宋体" w:hAnsi="宋体" w:eastAsia="宋体" w:cs="宋体"/>
          <w:color w:val="auto"/>
          <w:sz w:val="24"/>
          <w:highlight w:val="none"/>
        </w:rPr>
        <w:t>承诺函</w:t>
      </w:r>
    </w:p>
    <w:p w14:paraId="64DAABE5">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sz w:val="24"/>
          <w:lang w:val="en-US" w:eastAsia="zh-CN"/>
        </w:rPr>
      </w:pPr>
      <w:r>
        <w:rPr>
          <w:rFonts w:hint="eastAsia" w:ascii="宋体" w:hAnsi="宋体" w:cs="宋体"/>
          <w:color w:val="auto"/>
          <w:sz w:val="24"/>
          <w:lang w:val="en-US" w:eastAsia="zh-CN"/>
        </w:rPr>
        <w:t>七、技术响应偏离表（技术参数响应）</w:t>
      </w:r>
    </w:p>
    <w:p w14:paraId="3AD3768E">
      <w:pPr>
        <w:pBdr>
          <w:top w:val="none" w:color="000000" w:sz="0" w:space="0"/>
          <w:left w:val="none" w:color="000000" w:sz="0" w:space="0"/>
          <w:bottom w:val="none" w:color="000000" w:sz="0" w:space="0"/>
          <w:right w:val="none" w:color="000000" w:sz="0" w:space="0"/>
        </w:pBdr>
        <w:spacing w:before="0" w:after="0"/>
        <w:ind w:left="0" w:right="0" w:firstLine="240"/>
        <w:jc w:val="both"/>
        <w:rPr>
          <w:rFonts w:hint="eastAsia" w:ascii="宋体" w:hAnsi="宋体" w:eastAsia="宋体" w:cs="宋体"/>
          <w:color w:val="auto"/>
        </w:rPr>
      </w:pPr>
      <w:r>
        <w:rPr>
          <w:rFonts w:hint="eastAsia" w:ascii="宋体" w:hAnsi="宋体" w:eastAsia="宋体" w:cs="宋体"/>
          <w:color w:val="auto"/>
          <w:sz w:val="24"/>
        </w:rPr>
        <w:t>八、</w:t>
      </w:r>
      <w:r>
        <w:rPr>
          <w:rFonts w:hint="eastAsia" w:ascii="宋体" w:hAnsi="宋体" w:eastAsia="宋体" w:cs="宋体"/>
          <w:color w:val="auto"/>
          <w:sz w:val="24"/>
          <w:lang w:eastAsia="zh-CN"/>
        </w:rPr>
        <w:t>单一来源</w:t>
      </w:r>
      <w:r>
        <w:rPr>
          <w:rFonts w:hint="eastAsia" w:ascii="宋体" w:hAnsi="宋体" w:eastAsia="宋体" w:cs="宋体"/>
          <w:color w:val="auto"/>
          <w:sz w:val="24"/>
        </w:rPr>
        <w:t>所需其他材料</w:t>
      </w:r>
    </w:p>
    <w:p w14:paraId="33D4E3B3">
      <w:pPr>
        <w:spacing w:line="440" w:lineRule="exact"/>
        <w:ind w:firstLine="240"/>
        <w:rPr>
          <w:rFonts w:hint="eastAsia" w:ascii="宋体" w:hAnsi="宋体" w:eastAsia="宋体" w:cs="宋体"/>
          <w:color w:val="auto"/>
          <w:sz w:val="24"/>
          <w:szCs w:val="24"/>
          <w:highlight w:val="none"/>
        </w:rPr>
      </w:pPr>
    </w:p>
    <w:p w14:paraId="0E3F0D77">
      <w:pPr>
        <w:spacing w:line="440" w:lineRule="exact"/>
        <w:ind w:firstLine="480"/>
        <w:rPr>
          <w:rFonts w:hint="eastAsia" w:ascii="宋体" w:hAnsi="宋体" w:eastAsia="宋体" w:cs="宋体"/>
          <w:i/>
          <w:color w:val="auto"/>
          <w:sz w:val="24"/>
          <w:szCs w:val="21"/>
          <w:highlight w:val="none"/>
          <w:u w:val="single"/>
        </w:rPr>
      </w:pPr>
    </w:p>
    <w:p w14:paraId="5CED232E">
      <w:pPr>
        <w:spacing w:line="440" w:lineRule="exact"/>
        <w:ind w:firstLine="480"/>
        <w:rPr>
          <w:rFonts w:hint="eastAsia" w:ascii="宋体" w:hAnsi="宋体" w:eastAsia="宋体" w:cs="宋体"/>
          <w:color w:val="auto"/>
          <w:sz w:val="24"/>
          <w:szCs w:val="21"/>
          <w:highlight w:val="none"/>
        </w:rPr>
      </w:pPr>
    </w:p>
    <w:p w14:paraId="559E4AB9">
      <w:pPr>
        <w:spacing w:line="440" w:lineRule="exact"/>
        <w:ind w:firstLine="480"/>
        <w:rPr>
          <w:rFonts w:hint="eastAsia" w:ascii="宋体" w:hAnsi="宋体" w:eastAsia="宋体" w:cs="宋体"/>
          <w:color w:val="auto"/>
          <w:sz w:val="24"/>
          <w:szCs w:val="21"/>
          <w:highlight w:val="none"/>
        </w:rPr>
      </w:pPr>
    </w:p>
    <w:p w14:paraId="6A9C1554">
      <w:pPr>
        <w:spacing w:line="440" w:lineRule="exact"/>
        <w:ind w:firstLine="480"/>
        <w:rPr>
          <w:rFonts w:hint="eastAsia" w:ascii="宋体" w:hAnsi="宋体" w:eastAsia="宋体" w:cs="宋体"/>
          <w:color w:val="auto"/>
          <w:sz w:val="24"/>
          <w:szCs w:val="21"/>
          <w:highlight w:val="none"/>
        </w:rPr>
      </w:pPr>
    </w:p>
    <w:p w14:paraId="09B07375">
      <w:pPr>
        <w:spacing w:line="440" w:lineRule="exact"/>
        <w:ind w:firstLine="480"/>
        <w:rPr>
          <w:rFonts w:hint="eastAsia" w:ascii="宋体" w:hAnsi="宋体" w:eastAsia="宋体" w:cs="宋体"/>
          <w:color w:val="auto"/>
          <w:sz w:val="24"/>
          <w:szCs w:val="21"/>
          <w:highlight w:val="none"/>
        </w:rPr>
      </w:pPr>
    </w:p>
    <w:p w14:paraId="5DCD3195">
      <w:pPr>
        <w:spacing w:line="440" w:lineRule="exact"/>
        <w:ind w:firstLine="480"/>
        <w:rPr>
          <w:rFonts w:hint="eastAsia" w:ascii="宋体" w:hAnsi="宋体" w:eastAsia="宋体" w:cs="宋体"/>
          <w:color w:val="auto"/>
          <w:sz w:val="24"/>
          <w:szCs w:val="21"/>
          <w:highlight w:val="none"/>
        </w:rPr>
      </w:pPr>
    </w:p>
    <w:p w14:paraId="155746F2">
      <w:pPr>
        <w:spacing w:line="440" w:lineRule="exact"/>
        <w:ind w:firstLine="480"/>
        <w:rPr>
          <w:rFonts w:hint="eastAsia" w:ascii="宋体" w:hAnsi="宋体" w:eastAsia="宋体" w:cs="宋体"/>
          <w:color w:val="auto"/>
          <w:sz w:val="24"/>
          <w:szCs w:val="21"/>
          <w:highlight w:val="none"/>
        </w:rPr>
      </w:pPr>
    </w:p>
    <w:p w14:paraId="18957900">
      <w:pPr>
        <w:spacing w:line="440" w:lineRule="exact"/>
        <w:ind w:firstLine="480"/>
        <w:rPr>
          <w:rFonts w:hint="eastAsia" w:ascii="宋体" w:hAnsi="宋体" w:eastAsia="宋体" w:cs="宋体"/>
          <w:color w:val="auto"/>
          <w:sz w:val="24"/>
          <w:szCs w:val="21"/>
          <w:highlight w:val="none"/>
        </w:rPr>
      </w:pPr>
    </w:p>
    <w:p w14:paraId="205259B1">
      <w:pPr>
        <w:spacing w:line="440" w:lineRule="exact"/>
        <w:ind w:firstLine="480"/>
        <w:rPr>
          <w:rFonts w:hint="eastAsia" w:ascii="宋体" w:hAnsi="宋体" w:eastAsia="宋体" w:cs="宋体"/>
          <w:color w:val="auto"/>
          <w:sz w:val="24"/>
          <w:szCs w:val="21"/>
          <w:highlight w:val="none"/>
        </w:rPr>
      </w:pPr>
    </w:p>
    <w:p w14:paraId="1A081C03">
      <w:pPr>
        <w:spacing w:line="440" w:lineRule="exact"/>
        <w:ind w:firstLine="480"/>
        <w:rPr>
          <w:rFonts w:hint="eastAsia" w:ascii="宋体" w:hAnsi="宋体" w:eastAsia="宋体" w:cs="宋体"/>
          <w:color w:val="auto"/>
          <w:sz w:val="24"/>
          <w:szCs w:val="21"/>
          <w:highlight w:val="none"/>
        </w:rPr>
      </w:pPr>
    </w:p>
    <w:p w14:paraId="00C92FD8">
      <w:pPr>
        <w:spacing w:line="440" w:lineRule="exact"/>
        <w:ind w:firstLine="480"/>
        <w:rPr>
          <w:rFonts w:hint="eastAsia" w:ascii="宋体" w:hAnsi="宋体" w:eastAsia="宋体" w:cs="宋体"/>
          <w:color w:val="auto"/>
          <w:sz w:val="24"/>
          <w:szCs w:val="21"/>
          <w:highlight w:val="none"/>
        </w:rPr>
      </w:pPr>
    </w:p>
    <w:p w14:paraId="761315E1">
      <w:pPr>
        <w:spacing w:line="440" w:lineRule="exact"/>
        <w:ind w:firstLine="480"/>
        <w:rPr>
          <w:rFonts w:hint="eastAsia" w:ascii="宋体" w:hAnsi="宋体" w:eastAsia="宋体" w:cs="宋体"/>
          <w:color w:val="auto"/>
          <w:sz w:val="24"/>
          <w:szCs w:val="21"/>
          <w:highlight w:val="none"/>
        </w:rPr>
      </w:pPr>
    </w:p>
    <w:p w14:paraId="5E8A44E4">
      <w:pPr>
        <w:spacing w:line="440" w:lineRule="exact"/>
        <w:ind w:firstLine="480"/>
        <w:rPr>
          <w:rFonts w:hint="eastAsia" w:ascii="宋体" w:hAnsi="宋体" w:eastAsia="宋体" w:cs="宋体"/>
          <w:color w:val="auto"/>
          <w:sz w:val="24"/>
          <w:szCs w:val="21"/>
          <w:highlight w:val="none"/>
        </w:rPr>
      </w:pPr>
    </w:p>
    <w:p w14:paraId="6D736FDB">
      <w:pPr>
        <w:spacing w:line="440" w:lineRule="exact"/>
        <w:ind w:firstLine="480"/>
        <w:rPr>
          <w:rFonts w:hint="eastAsia" w:ascii="宋体" w:hAnsi="宋体" w:eastAsia="宋体" w:cs="宋体"/>
          <w:color w:val="auto"/>
          <w:sz w:val="24"/>
          <w:szCs w:val="21"/>
          <w:highlight w:val="none"/>
        </w:rPr>
      </w:pPr>
    </w:p>
    <w:p w14:paraId="31617A4A">
      <w:pPr>
        <w:spacing w:line="440" w:lineRule="exact"/>
        <w:ind w:firstLine="480"/>
        <w:rPr>
          <w:rFonts w:hint="eastAsia" w:ascii="宋体" w:hAnsi="宋体" w:eastAsia="宋体" w:cs="宋体"/>
          <w:color w:val="auto"/>
          <w:sz w:val="24"/>
          <w:szCs w:val="21"/>
          <w:highlight w:val="none"/>
        </w:rPr>
      </w:pPr>
    </w:p>
    <w:p w14:paraId="51543AAA">
      <w:pPr>
        <w:spacing w:line="440" w:lineRule="exact"/>
        <w:ind w:firstLine="480"/>
        <w:rPr>
          <w:rFonts w:hint="eastAsia" w:ascii="宋体" w:hAnsi="宋体" w:eastAsia="宋体" w:cs="宋体"/>
          <w:color w:val="auto"/>
          <w:sz w:val="24"/>
          <w:szCs w:val="21"/>
          <w:highlight w:val="none"/>
        </w:rPr>
      </w:pPr>
    </w:p>
    <w:p w14:paraId="61F7FCCF">
      <w:pPr>
        <w:rPr>
          <w:rFonts w:hint="eastAsia" w:ascii="宋体" w:hAnsi="宋体" w:eastAsia="宋体" w:cs="宋体"/>
          <w:i/>
          <w:color w:val="auto"/>
          <w:sz w:val="32"/>
          <w:szCs w:val="32"/>
          <w:highlight w:val="none"/>
          <w:u w:val="single"/>
        </w:rPr>
      </w:pPr>
    </w:p>
    <w:p w14:paraId="0E126860">
      <w:pPr>
        <w:rPr>
          <w:rFonts w:hint="eastAsia" w:ascii="宋体" w:hAnsi="宋体" w:eastAsia="宋体" w:cs="宋体"/>
          <w:bCs/>
          <w:i/>
          <w:color w:val="auto"/>
          <w:sz w:val="32"/>
          <w:szCs w:val="32"/>
          <w:highlight w:val="none"/>
          <w:u w:val="single"/>
        </w:rPr>
      </w:pPr>
    </w:p>
    <w:p w14:paraId="1FF03AF9">
      <w:pPr>
        <w:rPr>
          <w:rFonts w:hint="eastAsia" w:ascii="宋体" w:hAnsi="宋体" w:eastAsia="宋体" w:cs="宋体"/>
          <w:bCs/>
          <w:i/>
          <w:color w:val="auto"/>
          <w:sz w:val="32"/>
          <w:szCs w:val="32"/>
          <w:highlight w:val="none"/>
          <w:u w:val="single"/>
        </w:rPr>
      </w:pPr>
    </w:p>
    <w:p w14:paraId="04ED25E3">
      <w:pPr>
        <w:rPr>
          <w:rFonts w:hint="eastAsia" w:ascii="宋体" w:hAnsi="宋体" w:eastAsia="宋体" w:cs="宋体"/>
          <w:bCs/>
          <w:i/>
          <w:color w:val="auto"/>
          <w:sz w:val="32"/>
          <w:szCs w:val="32"/>
          <w:highlight w:val="none"/>
          <w:u w:val="single"/>
        </w:rPr>
      </w:pPr>
    </w:p>
    <w:p w14:paraId="6D6E16BE">
      <w:pPr>
        <w:rPr>
          <w:rFonts w:hint="eastAsia" w:ascii="宋体" w:hAnsi="宋体" w:eastAsia="宋体" w:cs="宋体"/>
          <w:bCs/>
          <w:i/>
          <w:color w:val="auto"/>
          <w:sz w:val="32"/>
          <w:szCs w:val="32"/>
          <w:highlight w:val="none"/>
          <w:u w:val="single"/>
        </w:rPr>
      </w:pPr>
    </w:p>
    <w:p w14:paraId="389AE208">
      <w:pPr>
        <w:pStyle w:val="190"/>
        <w:widowControl/>
        <w:jc w:val="both"/>
        <w:rPr>
          <w:rFonts w:hint="eastAsia" w:ascii="宋体" w:hAnsi="宋体" w:eastAsia="宋体" w:cs="宋体"/>
          <w:b w:val="0"/>
          <w:bCs w:val="0"/>
          <w:iCs/>
          <w:color w:val="auto"/>
          <w:sz w:val="32"/>
          <w:szCs w:val="32"/>
          <w:highlight w:val="none"/>
          <w:lang w:val="en-US" w:eastAsia="zh-CN"/>
        </w:rPr>
      </w:pPr>
      <w:r>
        <w:rPr>
          <w:rFonts w:hint="eastAsia" w:ascii="宋体" w:hAnsi="宋体" w:eastAsia="宋体" w:cs="宋体"/>
          <w:b w:val="0"/>
          <w:bCs w:val="0"/>
          <w:iCs/>
          <w:color w:val="auto"/>
          <w:sz w:val="32"/>
          <w:szCs w:val="32"/>
          <w:highlight w:val="none"/>
          <w:lang w:val="en-US" w:eastAsia="zh-CN"/>
        </w:rPr>
        <w:t>一、协商及声明函</w:t>
      </w:r>
    </w:p>
    <w:p w14:paraId="3CCAF9C9">
      <w:pPr>
        <w:pStyle w:val="186"/>
        <w:ind w:left="0" w:leftChars="0" w:firstLine="0" w:firstLineChars="0"/>
        <w:jc w:val="center"/>
        <w:rPr>
          <w:rFonts w:hint="eastAsia"/>
          <w:b/>
          <w:bCs/>
          <w:lang w:val="en-US" w:eastAsia="zh-CN"/>
        </w:rPr>
      </w:pPr>
      <w:r>
        <w:rPr>
          <w:rFonts w:hint="eastAsia" w:ascii="宋体" w:hAnsi="宋体" w:eastAsia="宋体" w:cs="宋体"/>
          <w:b/>
          <w:bCs/>
          <w:iCs/>
          <w:color w:val="auto"/>
          <w:sz w:val="32"/>
          <w:szCs w:val="32"/>
          <w:highlight w:val="none"/>
          <w:lang w:val="en-US" w:eastAsia="zh-CN"/>
        </w:rPr>
        <w:t>协商及声明函</w:t>
      </w:r>
    </w:p>
    <w:p w14:paraId="31B1C8DB">
      <w:pPr>
        <w:pStyle w:val="191"/>
        <w:widowControl/>
        <w:spacing w:line="5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（采购单位名称）</w:t>
      </w:r>
      <w:r>
        <w:rPr>
          <w:rFonts w:hint="eastAsia" w:ascii="宋体" w:hAnsi="宋体" w:eastAsia="宋体" w:cs="宋体"/>
          <w:color w:val="auto"/>
          <w:sz w:val="24"/>
          <w:szCs w:val="24"/>
          <w:highlight w:val="none"/>
        </w:rPr>
        <w:t>：</w:t>
      </w:r>
    </w:p>
    <w:p w14:paraId="701C944C">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项目编号</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的单一来源协商采购文件，我方在参加本项目协商活动中，特做出如下承诺：</w:t>
      </w:r>
    </w:p>
    <w:p w14:paraId="6D1E2751">
      <w:pPr>
        <w:pStyle w:val="191"/>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一、我方</w:t>
      </w:r>
      <w:r>
        <w:rPr>
          <w:rFonts w:hint="eastAsia" w:ascii="宋体" w:hAnsi="宋体" w:eastAsia="宋体" w:cs="宋体"/>
          <w:color w:val="auto"/>
          <w:sz w:val="24"/>
          <w:highlight w:val="none"/>
        </w:rPr>
        <w:t>具备《中华人民共和国政府采购法》第二十二条第一款规定的6项条件；</w:t>
      </w:r>
    </w:p>
    <w:p w14:paraId="0B550D39">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二、我方在参加政府采购活动前三年内（自本项目协商时间之日起计算），在经营活动中没有重大违法记录（指因违法经营受到刑事处罚或者责令停产停业、吊销许可证或者执照、较大数额罚款等行政处罚）。</w:t>
      </w:r>
    </w:p>
    <w:p w14:paraId="64B56EBD">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三、我方按采购文件要求提交协商文件，响应采购文件规定的投标有效期；</w:t>
      </w:r>
    </w:p>
    <w:p w14:paraId="04DB6926">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四、如果我方的协商文件被接受，我方将按《中华人民共和国民法典》及其他有关法律、法规的规定，按期、按质、按量交付采购单位，全面做到履约守信；</w:t>
      </w:r>
    </w:p>
    <w:p w14:paraId="096163A5">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五、我方若违背本声明及承诺约定，经查实，自愿接受采购人及相关主管部门相应的规定处理，并依法承担相应的法律责任。</w:t>
      </w:r>
    </w:p>
    <w:p w14:paraId="5A17CCD6">
      <w:pPr>
        <w:pStyle w:val="191"/>
        <w:widowControl/>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六、我方同意采购人、采购代理机构将本声明及承诺函上网公开。</w:t>
      </w:r>
    </w:p>
    <w:p w14:paraId="60ED524A">
      <w:pPr>
        <w:pStyle w:val="191"/>
        <w:widowControl/>
        <w:spacing w:line="500" w:lineRule="exact"/>
        <w:ind w:firstLine="480"/>
        <w:jc w:val="left"/>
        <w:rPr>
          <w:rFonts w:hint="eastAsia" w:ascii="宋体" w:hAnsi="宋体" w:eastAsia="宋体" w:cs="宋体"/>
          <w:color w:val="auto"/>
          <w:sz w:val="24"/>
          <w:szCs w:val="24"/>
          <w:highlight w:val="none"/>
        </w:rPr>
      </w:pPr>
    </w:p>
    <w:p w14:paraId="7440FEDF">
      <w:pPr>
        <w:pStyle w:val="191"/>
        <w:widowControl/>
        <w:spacing w:line="500" w:lineRule="exact"/>
        <w:jc w:val="left"/>
        <w:rPr>
          <w:rFonts w:hint="eastAsia" w:ascii="宋体" w:hAnsi="宋体" w:eastAsia="宋体" w:cs="宋体"/>
          <w:color w:val="auto"/>
          <w:sz w:val="24"/>
          <w:szCs w:val="24"/>
          <w:highlight w:val="none"/>
        </w:rPr>
      </w:pPr>
    </w:p>
    <w:p w14:paraId="3192C48C">
      <w:pPr>
        <w:pStyle w:val="191"/>
        <w:widowControl/>
        <w:spacing w:line="500" w:lineRule="exact"/>
        <w:ind w:right="960"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（加盖CA电子公章）</w:t>
      </w:r>
    </w:p>
    <w:p w14:paraId="1ECAC1A8">
      <w:pPr>
        <w:pStyle w:val="191"/>
        <w:widowControl/>
        <w:spacing w:line="500" w:lineRule="exact"/>
        <w:ind w:right="9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p>
    <w:p w14:paraId="30E28FCE">
      <w:pPr>
        <w:spacing w:line="440" w:lineRule="exact"/>
        <w:ind w:firstLine="480"/>
        <w:rPr>
          <w:rFonts w:hint="eastAsia" w:ascii="宋体" w:hAnsi="宋体" w:eastAsia="宋体" w:cs="宋体"/>
          <w:color w:val="auto"/>
          <w:sz w:val="24"/>
          <w:szCs w:val="21"/>
          <w:highlight w:val="none"/>
        </w:rPr>
      </w:pPr>
    </w:p>
    <w:p w14:paraId="15F80529">
      <w:pPr>
        <w:rPr>
          <w:rFonts w:hint="eastAsia" w:ascii="宋体" w:hAnsi="宋体" w:eastAsia="宋体" w:cs="宋体"/>
          <w:i/>
          <w:color w:val="auto"/>
          <w:sz w:val="32"/>
          <w:szCs w:val="32"/>
          <w:highlight w:val="none"/>
          <w:u w:val="single"/>
        </w:rPr>
      </w:pPr>
    </w:p>
    <w:p w14:paraId="464EC466">
      <w:pPr>
        <w:pStyle w:val="192"/>
        <w:outlineLvl w:val="1"/>
        <w:rPr>
          <w:rFonts w:hint="eastAsia" w:ascii="宋体" w:hAnsi="宋体" w:eastAsia="宋体" w:cs="宋体"/>
          <w:i/>
          <w:color w:val="auto"/>
          <w:szCs w:val="32"/>
          <w:highlight w:val="none"/>
          <w:u w:val="single"/>
        </w:rPr>
      </w:pPr>
      <w:r>
        <w:rPr>
          <w:rFonts w:hint="eastAsia" w:ascii="宋体" w:hAnsi="宋体" w:eastAsia="宋体" w:cs="宋体"/>
          <w:i/>
          <w:color w:val="auto"/>
          <w:szCs w:val="32"/>
          <w:highlight w:val="none"/>
          <w:u w:val="single"/>
        </w:rPr>
        <w:br w:type="page" w:clear="all"/>
      </w:r>
      <w:r>
        <w:rPr>
          <w:rFonts w:hint="eastAsia" w:ascii="宋体" w:hAnsi="宋体" w:eastAsia="宋体" w:cs="宋体"/>
          <w:b w:val="0"/>
          <w:bCs/>
          <w:iCs/>
          <w:color w:val="auto"/>
          <w:szCs w:val="32"/>
          <w:highlight w:val="none"/>
        </w:rPr>
        <w:t>二、供应商基本信息</w:t>
      </w:r>
    </w:p>
    <w:p w14:paraId="31C891F4">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供应商基本情况表</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8"/>
        <w:gridCol w:w="2992"/>
        <w:gridCol w:w="2221"/>
        <w:gridCol w:w="2448"/>
      </w:tblGrid>
      <w:tr w14:paraId="31ADF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0" w:hRule="atLeast"/>
          <w:jc w:val="center"/>
        </w:trPr>
        <w:tc>
          <w:tcPr>
            <w:tcW w:w="1758" w:type="dxa"/>
            <w:noWrap w:val="0"/>
            <w:vAlign w:val="center"/>
          </w:tcPr>
          <w:p w14:paraId="6F41E122">
            <w:pPr>
              <w:pStyle w:val="193"/>
              <w:widowControl/>
              <w:spacing w:before="100" w:beforeAutospacing="1"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7661" w:type="dxa"/>
            <w:gridSpan w:val="3"/>
            <w:noWrap w:val="0"/>
            <w:vAlign w:val="center"/>
          </w:tcPr>
          <w:p w14:paraId="5DADE850">
            <w:pPr>
              <w:pStyle w:val="193"/>
              <w:widowControl/>
              <w:spacing w:before="100" w:beforeAutospacing="1" w:line="360" w:lineRule="exact"/>
              <w:rPr>
                <w:rFonts w:hint="eastAsia" w:ascii="宋体" w:hAnsi="宋体" w:eastAsia="宋体" w:cs="宋体"/>
                <w:color w:val="auto"/>
                <w:sz w:val="24"/>
                <w:szCs w:val="24"/>
                <w:highlight w:val="none"/>
              </w:rPr>
            </w:pPr>
          </w:p>
        </w:tc>
      </w:tr>
      <w:tr w14:paraId="6A6B7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1758" w:type="dxa"/>
            <w:noWrap w:val="0"/>
            <w:vAlign w:val="center"/>
          </w:tcPr>
          <w:p w14:paraId="1ACF14EC">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992" w:type="dxa"/>
            <w:noWrap w:val="0"/>
            <w:vAlign w:val="center"/>
          </w:tcPr>
          <w:p w14:paraId="126081F4">
            <w:pPr>
              <w:pStyle w:val="194"/>
              <w:widowControl/>
              <w:spacing w:line="560" w:lineRule="exact"/>
              <w:rPr>
                <w:rFonts w:hint="eastAsia" w:ascii="宋体" w:hAnsi="宋体" w:eastAsia="宋体" w:cs="宋体"/>
                <w:color w:val="auto"/>
                <w:sz w:val="24"/>
                <w:szCs w:val="24"/>
                <w:highlight w:val="none"/>
              </w:rPr>
            </w:pPr>
          </w:p>
        </w:tc>
        <w:tc>
          <w:tcPr>
            <w:tcW w:w="2221" w:type="dxa"/>
            <w:noWrap w:val="0"/>
            <w:vAlign w:val="center"/>
          </w:tcPr>
          <w:p w14:paraId="75731B60">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448" w:type="dxa"/>
            <w:noWrap w:val="0"/>
            <w:vAlign w:val="center"/>
          </w:tcPr>
          <w:p w14:paraId="1FDBE89F">
            <w:pPr>
              <w:pStyle w:val="194"/>
              <w:widowControl/>
              <w:spacing w:line="560" w:lineRule="exact"/>
              <w:jc w:val="center"/>
              <w:rPr>
                <w:rFonts w:hint="eastAsia" w:ascii="宋体" w:hAnsi="宋体" w:eastAsia="宋体" w:cs="宋体"/>
                <w:color w:val="auto"/>
                <w:sz w:val="24"/>
                <w:szCs w:val="24"/>
                <w:highlight w:val="none"/>
              </w:rPr>
            </w:pPr>
          </w:p>
        </w:tc>
      </w:tr>
      <w:tr w14:paraId="0E7E9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3D73FE43">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2992" w:type="dxa"/>
            <w:noWrap w:val="0"/>
            <w:vAlign w:val="center"/>
          </w:tcPr>
          <w:p w14:paraId="56EE2471">
            <w:pPr>
              <w:pStyle w:val="194"/>
              <w:widowControl/>
              <w:spacing w:line="560" w:lineRule="exact"/>
              <w:rPr>
                <w:rFonts w:hint="eastAsia" w:ascii="宋体" w:hAnsi="宋体" w:eastAsia="宋体" w:cs="宋体"/>
                <w:color w:val="auto"/>
                <w:sz w:val="24"/>
                <w:szCs w:val="24"/>
                <w:highlight w:val="none"/>
              </w:rPr>
            </w:pPr>
          </w:p>
        </w:tc>
        <w:tc>
          <w:tcPr>
            <w:tcW w:w="2221" w:type="dxa"/>
            <w:noWrap w:val="0"/>
            <w:vAlign w:val="center"/>
          </w:tcPr>
          <w:p w14:paraId="6475F8F5">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448" w:type="dxa"/>
            <w:noWrap w:val="0"/>
            <w:vAlign w:val="center"/>
          </w:tcPr>
          <w:p w14:paraId="6DCA9CE7">
            <w:pPr>
              <w:pStyle w:val="194"/>
              <w:widowControl/>
              <w:spacing w:line="560" w:lineRule="exact"/>
              <w:jc w:val="center"/>
              <w:rPr>
                <w:rFonts w:hint="eastAsia" w:ascii="宋体" w:hAnsi="宋体" w:eastAsia="宋体" w:cs="宋体"/>
                <w:color w:val="auto"/>
                <w:sz w:val="24"/>
                <w:szCs w:val="24"/>
                <w:highlight w:val="none"/>
              </w:rPr>
            </w:pPr>
          </w:p>
        </w:tc>
      </w:tr>
      <w:tr w14:paraId="08446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643E6C7F">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992" w:type="dxa"/>
            <w:noWrap w:val="0"/>
            <w:vAlign w:val="center"/>
          </w:tcPr>
          <w:p w14:paraId="1F66AC1F">
            <w:pPr>
              <w:pStyle w:val="194"/>
              <w:widowControl/>
              <w:spacing w:line="560" w:lineRule="exact"/>
              <w:rPr>
                <w:rFonts w:hint="eastAsia" w:ascii="宋体" w:hAnsi="宋体" w:eastAsia="宋体" w:cs="宋体"/>
                <w:color w:val="auto"/>
                <w:sz w:val="24"/>
                <w:szCs w:val="24"/>
                <w:highlight w:val="none"/>
              </w:rPr>
            </w:pPr>
          </w:p>
        </w:tc>
        <w:tc>
          <w:tcPr>
            <w:tcW w:w="2221" w:type="dxa"/>
            <w:noWrap w:val="0"/>
            <w:vAlign w:val="center"/>
          </w:tcPr>
          <w:p w14:paraId="1A8C9E3F">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448" w:type="dxa"/>
            <w:noWrap w:val="0"/>
            <w:vAlign w:val="center"/>
          </w:tcPr>
          <w:p w14:paraId="01CF35B1">
            <w:pPr>
              <w:pStyle w:val="194"/>
              <w:widowControl/>
              <w:spacing w:line="560" w:lineRule="exact"/>
              <w:jc w:val="center"/>
              <w:rPr>
                <w:rFonts w:hint="eastAsia" w:ascii="宋体" w:hAnsi="宋体" w:eastAsia="宋体" w:cs="宋体"/>
                <w:color w:val="auto"/>
                <w:sz w:val="24"/>
                <w:szCs w:val="24"/>
                <w:highlight w:val="none"/>
              </w:rPr>
            </w:pPr>
          </w:p>
        </w:tc>
      </w:tr>
      <w:tr w14:paraId="0F7B3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58" w:type="dxa"/>
            <w:noWrap w:val="0"/>
            <w:vAlign w:val="center"/>
          </w:tcPr>
          <w:p w14:paraId="5C2689EA">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2992" w:type="dxa"/>
            <w:noWrap w:val="0"/>
            <w:vAlign w:val="center"/>
          </w:tcPr>
          <w:p w14:paraId="1C7B46B5">
            <w:pPr>
              <w:pStyle w:val="194"/>
              <w:widowControl/>
              <w:spacing w:line="560" w:lineRule="exact"/>
              <w:rPr>
                <w:rFonts w:hint="eastAsia" w:ascii="宋体" w:hAnsi="宋体" w:eastAsia="宋体" w:cs="宋体"/>
                <w:color w:val="auto"/>
                <w:sz w:val="24"/>
                <w:szCs w:val="24"/>
                <w:highlight w:val="none"/>
              </w:rPr>
            </w:pPr>
          </w:p>
        </w:tc>
        <w:tc>
          <w:tcPr>
            <w:tcW w:w="2221" w:type="dxa"/>
            <w:noWrap w:val="0"/>
            <w:vAlign w:val="center"/>
          </w:tcPr>
          <w:p w14:paraId="69AD993B">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448" w:type="dxa"/>
            <w:noWrap w:val="0"/>
            <w:vAlign w:val="center"/>
          </w:tcPr>
          <w:p w14:paraId="4C49D541">
            <w:pPr>
              <w:pStyle w:val="194"/>
              <w:widowControl/>
              <w:spacing w:line="560" w:lineRule="exact"/>
              <w:jc w:val="center"/>
              <w:rPr>
                <w:rFonts w:hint="eastAsia" w:ascii="宋体" w:hAnsi="宋体" w:eastAsia="宋体" w:cs="宋体"/>
                <w:color w:val="auto"/>
                <w:sz w:val="24"/>
                <w:szCs w:val="24"/>
                <w:highlight w:val="none"/>
              </w:rPr>
            </w:pPr>
          </w:p>
        </w:tc>
      </w:tr>
      <w:tr w14:paraId="03E9A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1758" w:type="dxa"/>
            <w:noWrap w:val="0"/>
            <w:vAlign w:val="center"/>
          </w:tcPr>
          <w:p w14:paraId="55595B22">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供应商类别</w:t>
            </w:r>
          </w:p>
        </w:tc>
        <w:tc>
          <w:tcPr>
            <w:tcW w:w="2992" w:type="dxa"/>
            <w:noWrap w:val="0"/>
            <w:vAlign w:val="center"/>
          </w:tcPr>
          <w:p w14:paraId="2B1F0F60">
            <w:pPr>
              <w:pStyle w:val="194"/>
              <w:widowControl/>
              <w:spacing w:line="560" w:lineRule="exact"/>
              <w:rPr>
                <w:rFonts w:hint="eastAsia" w:ascii="宋体" w:hAnsi="宋体" w:eastAsia="宋体" w:cs="宋体"/>
                <w:i/>
                <w:color w:val="auto"/>
                <w:sz w:val="24"/>
                <w:szCs w:val="24"/>
                <w:highlight w:val="none"/>
              </w:rPr>
            </w:pPr>
          </w:p>
        </w:tc>
        <w:tc>
          <w:tcPr>
            <w:tcW w:w="2221" w:type="dxa"/>
            <w:noWrap w:val="0"/>
            <w:vAlign w:val="center"/>
          </w:tcPr>
          <w:p w14:paraId="1BA4794D">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诚信等级</w:t>
            </w:r>
          </w:p>
        </w:tc>
        <w:tc>
          <w:tcPr>
            <w:tcW w:w="2448" w:type="dxa"/>
            <w:noWrap w:val="0"/>
            <w:vAlign w:val="center"/>
          </w:tcPr>
          <w:p w14:paraId="7ACA89E0">
            <w:pPr>
              <w:pStyle w:val="194"/>
              <w:widowControl/>
              <w:spacing w:line="560" w:lineRule="exact"/>
              <w:jc w:val="center"/>
              <w:rPr>
                <w:rFonts w:hint="eastAsia" w:ascii="宋体" w:hAnsi="宋体" w:eastAsia="宋体" w:cs="宋体"/>
                <w:color w:val="auto"/>
                <w:sz w:val="24"/>
                <w:szCs w:val="24"/>
                <w:highlight w:val="none"/>
              </w:rPr>
            </w:pPr>
          </w:p>
        </w:tc>
      </w:tr>
      <w:tr w14:paraId="6919A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0" w:hRule="atLeast"/>
          <w:jc w:val="center"/>
        </w:trPr>
        <w:tc>
          <w:tcPr>
            <w:tcW w:w="1758" w:type="dxa"/>
            <w:noWrap w:val="0"/>
            <w:vAlign w:val="center"/>
          </w:tcPr>
          <w:p w14:paraId="57B4F778">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2992" w:type="dxa"/>
            <w:noWrap w:val="0"/>
            <w:vAlign w:val="center"/>
          </w:tcPr>
          <w:p w14:paraId="1EACC56B">
            <w:pPr>
              <w:pStyle w:val="194"/>
              <w:widowControl/>
              <w:spacing w:line="560" w:lineRule="exact"/>
              <w:jc w:val="center"/>
              <w:rPr>
                <w:rFonts w:hint="eastAsia" w:ascii="宋体" w:hAnsi="宋体" w:eastAsia="宋体" w:cs="宋体"/>
                <w:color w:val="auto"/>
                <w:sz w:val="24"/>
                <w:szCs w:val="24"/>
                <w:highlight w:val="none"/>
              </w:rPr>
            </w:pPr>
          </w:p>
        </w:tc>
        <w:tc>
          <w:tcPr>
            <w:tcW w:w="2221" w:type="dxa"/>
            <w:noWrap w:val="0"/>
            <w:vAlign w:val="center"/>
          </w:tcPr>
          <w:p w14:paraId="28AB7EA0">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448" w:type="dxa"/>
            <w:noWrap w:val="0"/>
            <w:vAlign w:val="center"/>
          </w:tcPr>
          <w:p w14:paraId="389B1238">
            <w:pPr>
              <w:pStyle w:val="194"/>
              <w:widowControl/>
              <w:spacing w:line="560" w:lineRule="exact"/>
              <w:jc w:val="center"/>
              <w:rPr>
                <w:rFonts w:hint="eastAsia" w:ascii="宋体" w:hAnsi="宋体" w:eastAsia="宋体" w:cs="宋体"/>
                <w:color w:val="auto"/>
                <w:sz w:val="24"/>
                <w:szCs w:val="24"/>
                <w:highlight w:val="none"/>
              </w:rPr>
            </w:pPr>
          </w:p>
        </w:tc>
      </w:tr>
      <w:tr w14:paraId="2844D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0" w:hRule="atLeast"/>
          <w:jc w:val="center"/>
        </w:trPr>
        <w:tc>
          <w:tcPr>
            <w:tcW w:w="1758" w:type="dxa"/>
            <w:noWrap w:val="0"/>
            <w:vAlign w:val="center"/>
          </w:tcPr>
          <w:p w14:paraId="45C8FB17">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992" w:type="dxa"/>
            <w:noWrap w:val="0"/>
            <w:vAlign w:val="center"/>
          </w:tcPr>
          <w:p w14:paraId="1B1AB0CF">
            <w:pPr>
              <w:pStyle w:val="194"/>
              <w:widowControl/>
              <w:spacing w:line="560" w:lineRule="exact"/>
              <w:jc w:val="center"/>
              <w:rPr>
                <w:rFonts w:hint="eastAsia" w:ascii="宋体" w:hAnsi="宋体" w:eastAsia="宋体" w:cs="宋体"/>
                <w:color w:val="auto"/>
                <w:sz w:val="24"/>
                <w:szCs w:val="24"/>
                <w:highlight w:val="none"/>
              </w:rPr>
            </w:pPr>
          </w:p>
        </w:tc>
        <w:tc>
          <w:tcPr>
            <w:tcW w:w="2221" w:type="dxa"/>
            <w:noWrap w:val="0"/>
            <w:vAlign w:val="center"/>
          </w:tcPr>
          <w:p w14:paraId="1BEA5A4C">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448" w:type="dxa"/>
            <w:noWrap w:val="0"/>
            <w:vAlign w:val="center"/>
          </w:tcPr>
          <w:p w14:paraId="783402EF">
            <w:pPr>
              <w:pStyle w:val="194"/>
              <w:widowControl/>
              <w:spacing w:line="560" w:lineRule="exact"/>
              <w:jc w:val="center"/>
              <w:rPr>
                <w:rFonts w:hint="eastAsia" w:ascii="宋体" w:hAnsi="宋体" w:eastAsia="宋体" w:cs="宋体"/>
                <w:color w:val="auto"/>
                <w:sz w:val="24"/>
                <w:szCs w:val="24"/>
                <w:highlight w:val="none"/>
              </w:rPr>
            </w:pPr>
          </w:p>
        </w:tc>
      </w:tr>
      <w:tr w14:paraId="1942F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85" w:hRule="atLeast"/>
          <w:jc w:val="center"/>
        </w:trPr>
        <w:tc>
          <w:tcPr>
            <w:tcW w:w="1758" w:type="dxa"/>
            <w:noWrap w:val="0"/>
            <w:vAlign w:val="center"/>
          </w:tcPr>
          <w:p w14:paraId="31920E60">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661" w:type="dxa"/>
            <w:gridSpan w:val="3"/>
            <w:noWrap w:val="0"/>
            <w:vAlign w:val="center"/>
          </w:tcPr>
          <w:p w14:paraId="06DC212B">
            <w:pPr>
              <w:pStyle w:val="194"/>
              <w:widowControl/>
              <w:spacing w:line="560" w:lineRule="exact"/>
              <w:jc w:val="center"/>
              <w:rPr>
                <w:rFonts w:hint="eastAsia" w:ascii="宋体" w:hAnsi="宋体" w:eastAsia="宋体" w:cs="宋体"/>
                <w:color w:val="auto"/>
                <w:sz w:val="24"/>
                <w:szCs w:val="24"/>
                <w:highlight w:val="none"/>
              </w:rPr>
            </w:pPr>
          </w:p>
        </w:tc>
      </w:tr>
      <w:tr w14:paraId="527B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jc w:val="center"/>
        </w:trPr>
        <w:tc>
          <w:tcPr>
            <w:tcW w:w="1758" w:type="dxa"/>
            <w:noWrap w:val="0"/>
            <w:vAlign w:val="center"/>
          </w:tcPr>
          <w:p w14:paraId="3B657123">
            <w:pPr>
              <w:pStyle w:val="194"/>
              <w:widowControl/>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bookmarkEnd w:id="166"/>
          <w:bookmarkEnd w:id="167"/>
          <w:bookmarkEnd w:id="168"/>
        </w:tc>
        <w:tc>
          <w:tcPr>
            <w:tcW w:w="7661" w:type="dxa"/>
            <w:gridSpan w:val="3"/>
            <w:noWrap w:val="0"/>
            <w:vAlign w:val="center"/>
          </w:tcPr>
          <w:p w14:paraId="48A9A908">
            <w:pPr>
              <w:pStyle w:val="194"/>
              <w:widowControl/>
              <w:spacing w:line="560" w:lineRule="exact"/>
              <w:jc w:val="center"/>
              <w:rPr>
                <w:rFonts w:hint="eastAsia" w:ascii="宋体" w:hAnsi="宋体" w:eastAsia="宋体" w:cs="宋体"/>
                <w:color w:val="auto"/>
                <w:sz w:val="24"/>
                <w:szCs w:val="24"/>
                <w:highlight w:val="none"/>
              </w:rPr>
            </w:pPr>
          </w:p>
        </w:tc>
      </w:tr>
    </w:tbl>
    <w:p w14:paraId="0BF3561F">
      <w:pPr>
        <w:spacing w:line="460" w:lineRule="exact"/>
        <w:rPr>
          <w:rFonts w:hint="eastAsia" w:ascii="宋体" w:hAnsi="宋体" w:eastAsia="宋体" w:cs="宋体"/>
          <w:bCs/>
          <w:color w:val="auto"/>
          <w:sz w:val="24"/>
          <w:szCs w:val="21"/>
          <w:highlight w:val="none"/>
        </w:rPr>
      </w:pPr>
    </w:p>
    <w:p w14:paraId="1514E1D1">
      <w:pPr>
        <w:spacing w:line="460" w:lineRule="exact"/>
        <w:rPr>
          <w:rFonts w:hint="eastAsia" w:ascii="宋体" w:hAnsi="宋体" w:eastAsia="宋体" w:cs="宋体"/>
          <w:bCs/>
          <w:color w:val="auto"/>
          <w:sz w:val="24"/>
          <w:szCs w:val="21"/>
          <w:highlight w:val="none"/>
        </w:rPr>
      </w:pPr>
      <w:bookmarkStart w:id="169" w:name="_Toc120614284"/>
    </w:p>
    <w:p w14:paraId="16E2062A">
      <w:pPr>
        <w:jc w:val="left"/>
        <w:rPr>
          <w:rFonts w:hint="eastAsia" w:ascii="宋体" w:hAnsi="宋体" w:eastAsia="宋体" w:cs="宋体"/>
          <w:bCs/>
          <w:iCs/>
          <w:color w:val="auto"/>
          <w:sz w:val="32"/>
          <w:szCs w:val="32"/>
          <w:highlight w:val="non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bCs/>
          <w:iCs/>
          <w:color w:val="auto"/>
          <w:sz w:val="32"/>
          <w:szCs w:val="32"/>
          <w:highlight w:val="none"/>
        </w:rPr>
        <w:t>三、特定资格要求的证明文件</w:t>
      </w:r>
    </w:p>
    <w:p w14:paraId="7189B6CC">
      <w:pPr>
        <w:ind w:firstLine="240"/>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（按文件要求提供相应资质证书）</w:t>
      </w:r>
    </w:p>
    <w:p w14:paraId="261B2A5A">
      <w:pPr>
        <w:jc w:val="left"/>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p>
    <w:p w14:paraId="390ABC89">
      <w:pPr>
        <w:jc w:val="left"/>
        <w:rPr>
          <w:rFonts w:hint="eastAsia" w:ascii="宋体" w:hAnsi="宋体" w:eastAsia="宋体" w:cs="宋体"/>
          <w:i/>
          <w:color w:val="auto"/>
          <w:sz w:val="32"/>
          <w:szCs w:val="32"/>
          <w:highlight w:val="none"/>
          <w:u w:val="single"/>
        </w:rPr>
      </w:pPr>
      <w:r>
        <w:rPr>
          <w:rFonts w:hint="eastAsia" w:ascii="宋体" w:hAnsi="宋体" w:eastAsia="宋体" w:cs="宋体"/>
          <w:bCs/>
          <w:iCs/>
          <w:color w:val="auto"/>
          <w:sz w:val="32"/>
          <w:szCs w:val="32"/>
          <w:highlight w:val="none"/>
        </w:rPr>
        <w:t>四、法人授权书</w:t>
      </w:r>
    </w:p>
    <w:p w14:paraId="453801DB">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1694205C">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6C18BED1">
      <w:pPr>
        <w:tabs>
          <w:tab w:val="left" w:pos="360"/>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14:paraId="3BE4A2AD">
      <w:pPr>
        <w:tabs>
          <w:tab w:val="left" w:pos="360"/>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14:paraId="3533ECB3">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3B64202F">
      <w:pPr>
        <w:tabs>
          <w:tab w:val="left" w:pos="360"/>
        </w:tabs>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14:paraId="429C16B6">
      <w:pPr>
        <w:tabs>
          <w:tab w:val="left" w:pos="360"/>
        </w:tabs>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70" w:name="_Hlt26671380"/>
      <w:bookmarkEnd w:id="170"/>
      <w:bookmarkStart w:id="171" w:name="_Hlt26955070"/>
      <w:bookmarkEnd w:id="171"/>
      <w:bookmarkStart w:id="172" w:name="_格式3__银行出具的资信证明"/>
      <w:bookmarkEnd w:id="172"/>
      <w:r>
        <w:rPr>
          <w:rFonts w:hint="eastAsia" w:ascii="宋体" w:hAnsi="宋体" w:eastAsia="宋体" w:cs="宋体"/>
          <w:color w:val="auto"/>
          <w:sz w:val="24"/>
          <w:szCs w:val="24"/>
          <w:highlight w:val="none"/>
          <w:u w:val="single"/>
        </w:rPr>
        <w:t xml:space="preserve">                                         </w:t>
      </w:r>
    </w:p>
    <w:p w14:paraId="4CD55F2A">
      <w:pPr>
        <w:tabs>
          <w:tab w:val="left" w:pos="360"/>
        </w:tabs>
        <w:ind w:firstLine="480"/>
        <w:rPr>
          <w:rFonts w:hint="eastAsia" w:ascii="宋体" w:hAnsi="宋体" w:eastAsia="宋体" w:cs="宋体"/>
          <w:color w:val="auto"/>
          <w:sz w:val="24"/>
          <w:szCs w:val="24"/>
          <w:highlight w:val="none"/>
          <w:u w:val="single"/>
        </w:rPr>
      </w:pPr>
    </w:p>
    <w:p w14:paraId="54BCBFFB">
      <w:pPr>
        <w:tabs>
          <w:tab w:val="left" w:pos="360"/>
        </w:tabs>
        <w:ind w:firstLine="480"/>
        <w:rPr>
          <w:rFonts w:hint="eastAsia" w:ascii="宋体" w:hAnsi="宋体" w:eastAsia="宋体" w:cs="宋体"/>
          <w:color w:val="auto"/>
          <w:sz w:val="24"/>
          <w:szCs w:val="24"/>
          <w:highlight w:val="none"/>
        </w:rPr>
      </w:pPr>
    </w:p>
    <w:p w14:paraId="3EA52E71">
      <w:pPr>
        <w:ind w:firstLine="420"/>
        <w:rPr>
          <w:rFonts w:hint="eastAsia" w:ascii="宋体" w:hAnsi="宋体" w:eastAsia="宋体" w:cs="宋体"/>
          <w:i/>
          <w:color w:val="auto"/>
          <w:sz w:val="24"/>
          <w:szCs w:val="24"/>
          <w:highlight w:val="none"/>
          <w:u w:val="single"/>
        </w:rPr>
      </w:pPr>
    </w:p>
    <w:p w14:paraId="0700256D">
      <w:pPr>
        <w:rPr>
          <w:rFonts w:hint="eastAsia" w:ascii="宋体" w:hAnsi="宋体" w:eastAsia="宋体" w:cs="宋体"/>
          <w:color w:val="auto"/>
          <w:szCs w:val="21"/>
          <w:highlight w:val="none"/>
        </w:rPr>
      </w:pPr>
    </w:p>
    <w:p w14:paraId="28E58BD5">
      <w:pPr>
        <w:rPr>
          <w:rFonts w:hint="eastAsia" w:ascii="宋体" w:hAnsi="宋体" w:eastAsia="宋体" w:cs="宋体"/>
          <w:color w:val="auto"/>
          <w:sz w:val="24"/>
          <w:szCs w:val="20"/>
          <w:highlight w:val="none"/>
        </w:rPr>
      </w:pPr>
      <w:r>
        <w:rPr>
          <w:rFonts w:hint="eastAsia" w:ascii="宋体" w:hAnsi="宋体" w:eastAsia="宋体" w:cs="宋体"/>
          <w:b/>
          <w:color w:val="auto"/>
          <w:sz w:val="24"/>
          <w:szCs w:val="44"/>
          <w:highlight w:val="none"/>
        </w:rPr>
        <w:br w:type="page" w:clear="all"/>
      </w:r>
      <w:r>
        <w:rPr>
          <w:rFonts w:hint="eastAsia" w:ascii="宋体" w:hAnsi="宋体" w:eastAsia="宋体" w:cs="宋体"/>
          <w:b/>
          <w:color w:val="auto"/>
          <w:sz w:val="32"/>
          <w:szCs w:val="32"/>
          <w:highlight w:val="none"/>
        </w:rPr>
        <w:t>五、</w:t>
      </w:r>
      <w:r>
        <w:rPr>
          <w:rFonts w:hint="eastAsia" w:ascii="宋体" w:hAnsi="宋体" w:cs="宋体"/>
          <w:b/>
          <w:color w:val="auto"/>
          <w:sz w:val="32"/>
          <w:szCs w:val="32"/>
          <w:highlight w:val="none"/>
          <w:lang w:val="en-US" w:eastAsia="zh-CN"/>
        </w:rPr>
        <w:t>单一来源报价</w:t>
      </w:r>
      <w:r>
        <w:rPr>
          <w:rFonts w:hint="eastAsia" w:ascii="宋体" w:hAnsi="宋体" w:eastAsia="宋体" w:cs="宋体"/>
          <w:b/>
          <w:color w:val="auto"/>
          <w:sz w:val="32"/>
          <w:szCs w:val="32"/>
          <w:highlight w:val="none"/>
        </w:rPr>
        <w:t>表</w:t>
      </w:r>
    </w:p>
    <w:p w14:paraId="7A580FB7">
      <w:pPr>
        <w:tabs>
          <w:tab w:val="left" w:pos="436"/>
        </w:tabs>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p>
    <w:p w14:paraId="4BE16193">
      <w:pPr>
        <w:keepNext w:val="0"/>
        <w:keepLines w:val="0"/>
        <w:pageBreakBefore w:val="0"/>
        <w:widowControl w:val="0"/>
        <w:tabs>
          <w:tab w:val="left" w:pos="436"/>
        </w:tabs>
        <w:kinsoku/>
        <w:wordWrap/>
        <w:overflowPunct/>
        <w:topLinePunct w:val="0"/>
        <w:autoSpaceDE/>
        <w:autoSpaceDN/>
        <w:bidi w:val="0"/>
        <w:adjustRightInd/>
        <w:snapToGrid/>
        <w:spacing w:line="460" w:lineRule="exact"/>
        <w:ind w:firstLine="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全称（加盖CA电子签章）：</w:t>
      </w:r>
    </w:p>
    <w:p w14:paraId="1C68DCDC">
      <w:pPr>
        <w:keepNext w:val="0"/>
        <w:keepLines w:val="0"/>
        <w:pageBreakBefore w:val="0"/>
        <w:widowControl w:val="0"/>
        <w:tabs>
          <w:tab w:val="left" w:pos="436"/>
        </w:tabs>
        <w:kinsoku/>
        <w:wordWrap/>
        <w:overflowPunct/>
        <w:topLinePunct w:val="0"/>
        <w:autoSpaceDE/>
        <w:autoSpaceDN/>
        <w:bidi w:val="0"/>
        <w:adjustRightInd/>
        <w:snapToGrid/>
        <w:spacing w:line="460" w:lineRule="exact"/>
        <w:ind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采购项目名称：</w:t>
      </w:r>
    </w:p>
    <w:p w14:paraId="6480C76A">
      <w:pPr>
        <w:keepNext w:val="0"/>
        <w:keepLines w:val="0"/>
        <w:pageBreakBefore w:val="0"/>
        <w:widowControl w:val="0"/>
        <w:tabs>
          <w:tab w:val="left" w:pos="436"/>
        </w:tabs>
        <w:kinsoku/>
        <w:wordWrap/>
        <w:overflowPunct/>
        <w:topLinePunct w:val="0"/>
        <w:autoSpaceDE/>
        <w:autoSpaceDN/>
        <w:bidi w:val="0"/>
        <w:adjustRightInd/>
        <w:snapToGrid/>
        <w:spacing w:line="460" w:lineRule="exact"/>
        <w:ind w:firstLine="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采购项目编号： </w:t>
      </w:r>
    </w:p>
    <w:tbl>
      <w:tblPr>
        <w:tblStyle w:val="2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77"/>
      </w:tblGrid>
      <w:tr w14:paraId="200B4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7" w:hRule="atLeast"/>
        </w:trPr>
        <w:tc>
          <w:tcPr>
            <w:tcW w:w="9400" w:type="dxa"/>
            <w:noWrap w:val="0"/>
            <w:vAlign w:val="top"/>
          </w:tcPr>
          <w:p w14:paraId="5C742BF8">
            <w:pPr>
              <w:spacing w:line="500" w:lineRule="exact"/>
              <w:jc w:val="center"/>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报价（单价）</w:t>
            </w:r>
          </w:p>
        </w:tc>
      </w:tr>
      <w:tr w14:paraId="68796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9" w:hRule="atLeast"/>
        </w:trPr>
        <w:tc>
          <w:tcPr>
            <w:tcW w:w="9400" w:type="dxa"/>
            <w:noWrap w:val="0"/>
            <w:vAlign w:val="top"/>
          </w:tcPr>
          <w:p w14:paraId="3EFD8ADA">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r>
              <w:rPr>
                <w:rFonts w:ascii="宋体" w:hAnsi="宋体" w:eastAsia="宋体" w:cs="宋体"/>
                <w:sz w:val="24"/>
                <w:szCs w:val="24"/>
              </w:rPr>
              <w:t>（人民币：元）</w:t>
            </w:r>
          </w:p>
        </w:tc>
      </w:tr>
    </w:tbl>
    <w:p w14:paraId="615DC96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054A6CC">
      <w:pPr>
        <w:ind w:firstLine="480"/>
        <w:jc w:val="right"/>
        <w:rPr>
          <w:rFonts w:hint="eastAsia" w:ascii="宋体" w:hAnsi="宋体" w:eastAsia="宋体" w:cs="宋体"/>
          <w:color w:val="auto"/>
          <w:sz w:val="24"/>
          <w:szCs w:val="24"/>
          <w:highlight w:val="none"/>
        </w:rPr>
      </w:pPr>
    </w:p>
    <w:p w14:paraId="0F174511">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40C4692">
      <w:pPr>
        <w:spacing w:line="560" w:lineRule="exact"/>
        <w:ind w:firstLine="240"/>
        <w:jc w:val="left"/>
        <w:rPr>
          <w:rFonts w:hint="eastAsia" w:ascii="宋体" w:hAnsi="宋体" w:eastAsia="宋体" w:cs="宋体"/>
          <w:color w:val="auto"/>
          <w:sz w:val="24"/>
          <w:szCs w:val="24"/>
          <w:highlight w:val="none"/>
        </w:rPr>
      </w:pPr>
    </w:p>
    <w:p w14:paraId="12F77166">
      <w:pPr>
        <w:rPr>
          <w:rFonts w:hint="eastAsia" w:ascii="宋体" w:hAnsi="宋体" w:eastAsia="宋体" w:cs="宋体"/>
          <w:color w:val="auto"/>
          <w:sz w:val="24"/>
          <w:szCs w:val="24"/>
          <w:highlight w:val="none"/>
        </w:rPr>
      </w:pPr>
    </w:p>
    <w:p w14:paraId="6DA6FA3C">
      <w:pPr>
        <w:rPr>
          <w:rFonts w:hint="eastAsia" w:ascii="宋体" w:hAnsi="宋体" w:eastAsia="宋体" w:cs="宋体"/>
          <w:color w:val="auto"/>
          <w:sz w:val="24"/>
          <w:szCs w:val="24"/>
          <w:highlight w:val="none"/>
        </w:rPr>
      </w:pPr>
    </w:p>
    <w:p w14:paraId="1780977D">
      <w:pPr>
        <w:rPr>
          <w:rFonts w:hint="eastAsia" w:ascii="宋体" w:hAnsi="宋体" w:eastAsia="宋体" w:cs="宋体"/>
          <w:color w:val="auto"/>
          <w:sz w:val="24"/>
          <w:szCs w:val="24"/>
          <w:highlight w:val="none"/>
        </w:rPr>
      </w:pPr>
    </w:p>
    <w:p w14:paraId="1F1D26C5">
      <w:pPr>
        <w:rPr>
          <w:rFonts w:hint="eastAsia" w:ascii="宋体" w:hAnsi="宋体" w:eastAsia="宋体" w:cs="宋体"/>
          <w:color w:val="auto"/>
          <w:sz w:val="24"/>
          <w:szCs w:val="24"/>
          <w:highlight w:val="none"/>
        </w:rPr>
      </w:pPr>
    </w:p>
    <w:p w14:paraId="2F432670">
      <w:pPr>
        <w:rPr>
          <w:rFonts w:hint="eastAsia" w:ascii="宋体" w:hAnsi="宋体" w:eastAsia="宋体" w:cs="宋体"/>
          <w:color w:val="auto"/>
          <w:sz w:val="24"/>
          <w:szCs w:val="24"/>
          <w:highlight w:val="none"/>
        </w:rPr>
      </w:pPr>
    </w:p>
    <w:p w14:paraId="34996500">
      <w:pPr>
        <w:rPr>
          <w:rFonts w:hint="eastAsia" w:ascii="宋体" w:hAnsi="宋体" w:eastAsia="宋体" w:cs="宋体"/>
          <w:color w:val="auto"/>
          <w:sz w:val="24"/>
          <w:szCs w:val="24"/>
          <w:highlight w:val="none"/>
        </w:rPr>
      </w:pPr>
    </w:p>
    <w:p w14:paraId="6A29FCC9">
      <w:pPr>
        <w:rPr>
          <w:rFonts w:hint="eastAsia" w:ascii="宋体" w:hAnsi="宋体" w:eastAsia="宋体" w:cs="宋体"/>
          <w:color w:val="auto"/>
          <w:sz w:val="24"/>
          <w:szCs w:val="24"/>
          <w:highlight w:val="none"/>
        </w:rPr>
      </w:pPr>
    </w:p>
    <w:p w14:paraId="0763AA19">
      <w:pPr>
        <w:rPr>
          <w:rFonts w:hint="eastAsia" w:ascii="宋体" w:hAnsi="宋体" w:eastAsia="宋体" w:cs="宋体"/>
          <w:color w:val="auto"/>
          <w:sz w:val="24"/>
          <w:szCs w:val="24"/>
          <w:highlight w:val="none"/>
        </w:rPr>
      </w:pPr>
    </w:p>
    <w:p w14:paraId="6C32EEBE">
      <w:pPr>
        <w:rPr>
          <w:rFonts w:hint="eastAsia" w:ascii="宋体" w:hAnsi="宋体" w:eastAsia="宋体" w:cs="宋体"/>
          <w:color w:val="auto"/>
          <w:sz w:val="24"/>
          <w:szCs w:val="24"/>
          <w:highlight w:val="none"/>
        </w:rPr>
      </w:pPr>
    </w:p>
    <w:p w14:paraId="0C0280CE">
      <w:pPr>
        <w:rPr>
          <w:rFonts w:hint="eastAsia" w:ascii="宋体" w:hAnsi="宋体" w:eastAsia="宋体" w:cs="宋体"/>
          <w:color w:val="auto"/>
          <w:sz w:val="24"/>
          <w:szCs w:val="24"/>
          <w:highlight w:val="none"/>
        </w:rPr>
      </w:pPr>
    </w:p>
    <w:p w14:paraId="3CEFB620">
      <w:pPr>
        <w:rPr>
          <w:rFonts w:hint="eastAsia" w:ascii="宋体" w:hAnsi="宋体" w:eastAsia="宋体" w:cs="宋体"/>
          <w:color w:val="auto"/>
          <w:sz w:val="24"/>
          <w:szCs w:val="24"/>
          <w:highlight w:val="none"/>
        </w:rPr>
      </w:pPr>
    </w:p>
    <w:p w14:paraId="2ACD5989">
      <w:pPr>
        <w:rPr>
          <w:rFonts w:hint="eastAsia" w:ascii="宋体" w:hAnsi="宋体" w:eastAsia="宋体" w:cs="宋体"/>
          <w:color w:val="auto"/>
          <w:sz w:val="24"/>
          <w:szCs w:val="24"/>
          <w:highlight w:val="none"/>
        </w:rPr>
      </w:pPr>
    </w:p>
    <w:p w14:paraId="7E865A64">
      <w:pPr>
        <w:rPr>
          <w:rFonts w:hint="eastAsia" w:ascii="宋体" w:hAnsi="宋体" w:eastAsia="宋体" w:cs="宋体"/>
          <w:color w:val="auto"/>
          <w:sz w:val="24"/>
          <w:szCs w:val="24"/>
          <w:highlight w:val="none"/>
        </w:rPr>
      </w:pPr>
    </w:p>
    <w:p w14:paraId="6C1F7007">
      <w:pPr>
        <w:rPr>
          <w:rFonts w:hint="eastAsia" w:ascii="宋体" w:hAnsi="宋体" w:eastAsia="宋体" w:cs="宋体"/>
          <w:color w:val="auto"/>
          <w:sz w:val="24"/>
          <w:szCs w:val="24"/>
          <w:highlight w:val="none"/>
        </w:rPr>
      </w:pPr>
    </w:p>
    <w:p w14:paraId="0EF56876">
      <w:pPr>
        <w:rPr>
          <w:rFonts w:hint="eastAsia" w:ascii="宋体" w:hAnsi="宋体" w:eastAsia="宋体" w:cs="宋体"/>
          <w:color w:val="auto"/>
          <w:sz w:val="24"/>
          <w:szCs w:val="24"/>
          <w:highlight w:val="none"/>
        </w:rPr>
      </w:pPr>
    </w:p>
    <w:p w14:paraId="085C60AA">
      <w:pPr>
        <w:spacing w:after="160" w:line="278" w:lineRule="auto"/>
        <w:outlineLvl w:val="1"/>
        <w:rPr>
          <w:rFonts w:hint="eastAsia" w:ascii="宋体" w:hAnsi="宋体" w:eastAsia="宋体" w:cs="宋体"/>
          <w:b/>
          <w:bCs/>
          <w:color w:val="auto"/>
          <w:sz w:val="32"/>
          <w:szCs w:val="32"/>
          <w:highlight w:val="none"/>
          <w:lang w:val="en-US" w:eastAsia="zh-CN" w:bidi="ar-SA"/>
        </w:rPr>
      </w:pPr>
    </w:p>
    <w:p w14:paraId="0A3D6339">
      <w:pPr>
        <w:spacing w:after="160" w:line="278" w:lineRule="auto"/>
        <w:outlineLvl w:val="1"/>
        <w:rPr>
          <w:rFonts w:hint="eastAsia" w:ascii="宋体" w:hAnsi="宋体" w:eastAsia="宋体" w:cs="宋体"/>
          <w:b/>
          <w:bCs/>
          <w:color w:val="auto"/>
          <w:sz w:val="32"/>
          <w:szCs w:val="32"/>
          <w:highlight w:val="none"/>
          <w:lang w:val="en-US" w:eastAsia="zh-CN" w:bidi="ar-SA"/>
        </w:rPr>
      </w:pPr>
    </w:p>
    <w:p w14:paraId="6BD65AB3">
      <w:pPr>
        <w:spacing w:after="160" w:line="278" w:lineRule="auto"/>
        <w:outlineLvl w:val="1"/>
        <w:rPr>
          <w:rFonts w:hint="eastAsia" w:ascii="宋体" w:hAnsi="宋体" w:eastAsia="宋体" w:cs="宋体"/>
          <w:b/>
          <w:bCs/>
          <w:color w:val="auto"/>
          <w:sz w:val="32"/>
          <w:szCs w:val="32"/>
          <w:highlight w:val="none"/>
          <w:lang w:val="en-US" w:eastAsia="zh-CN" w:bidi="ar-SA"/>
        </w:rPr>
      </w:pPr>
    </w:p>
    <w:p w14:paraId="3A36886B">
      <w:pPr>
        <w:spacing w:after="160" w:line="278" w:lineRule="auto"/>
        <w:outlineLvl w:val="1"/>
        <w:rPr>
          <w:rFonts w:hint="eastAsia" w:ascii="宋体" w:hAnsi="宋体" w:eastAsia="宋体" w:cs="宋体"/>
          <w:b/>
          <w:bCs/>
          <w:color w:val="auto"/>
          <w:sz w:val="32"/>
          <w:szCs w:val="32"/>
          <w:highlight w:val="none"/>
          <w:lang w:val="en-US" w:eastAsia="zh-CN" w:bidi="ar-SA"/>
        </w:rPr>
      </w:pPr>
    </w:p>
    <w:p w14:paraId="0CF2C9E6">
      <w:pPr>
        <w:spacing w:after="160" w:line="278" w:lineRule="auto"/>
        <w:outlineLvl w:val="1"/>
        <w:rPr>
          <w:rFonts w:hint="eastAsia" w:ascii="宋体" w:hAnsi="宋体" w:eastAsia="宋体" w:cs="宋体"/>
          <w:b/>
          <w:bCs/>
          <w:color w:val="auto"/>
          <w:sz w:val="32"/>
          <w:szCs w:val="32"/>
          <w:highlight w:val="none"/>
          <w:lang w:val="en-US" w:eastAsia="zh-CN" w:bidi="ar-SA"/>
        </w:rPr>
      </w:pPr>
    </w:p>
    <w:p w14:paraId="007BC7B0">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b/>
          <w:bCs/>
          <w:color w:val="auto"/>
        </w:rPr>
      </w:pPr>
      <w:r>
        <w:rPr>
          <w:rFonts w:hint="eastAsia" w:ascii="宋体" w:hAnsi="宋体" w:eastAsia="宋体" w:cs="宋体"/>
          <w:b/>
          <w:color w:val="auto"/>
          <w:sz w:val="32"/>
          <w:szCs w:val="24"/>
          <w:highlight w:val="none"/>
          <w:lang w:val="en-US" w:eastAsia="zh-CN" w:bidi="ar-SA"/>
        </w:rPr>
        <w:t>六、</w:t>
      </w:r>
      <w:r>
        <w:rPr>
          <w:rFonts w:hint="eastAsia" w:ascii="宋体" w:hAnsi="宋体" w:eastAsia="宋体" w:cs="宋体"/>
          <w:b/>
          <w:bCs/>
          <w:color w:val="auto"/>
          <w:sz w:val="32"/>
        </w:rPr>
        <w:t>承诺函</w:t>
      </w:r>
    </w:p>
    <w:p w14:paraId="3D0D8E09">
      <w:pPr>
        <w:keepNext w:val="0"/>
        <w:keepLines w:val="0"/>
        <w:pageBreakBefore w:val="0"/>
        <w:spacing w:line="360" w:lineRule="auto"/>
        <w:jc w:val="center"/>
        <w:outlineLvl w:val="9"/>
        <w:rPr>
          <w:rFonts w:hint="eastAsia" w:ascii="宋体" w:hAnsi="宋体" w:eastAsia="宋体" w:cs="宋体"/>
          <w:b/>
          <w:bCs w:val="0"/>
          <w:color w:val="auto"/>
          <w:sz w:val="32"/>
          <w:szCs w:val="28"/>
        </w:rPr>
      </w:pPr>
      <w:r>
        <w:rPr>
          <w:rFonts w:hint="eastAsia" w:ascii="宋体" w:hAnsi="宋体" w:eastAsia="宋体" w:cs="宋体"/>
          <w:b/>
          <w:bCs w:val="0"/>
          <w:color w:val="auto"/>
          <w:sz w:val="32"/>
          <w:szCs w:val="28"/>
        </w:rPr>
        <w:t> </w:t>
      </w:r>
    </w:p>
    <w:p w14:paraId="1CEE7414">
      <w:pPr>
        <w:keepNext w:val="0"/>
        <w:keepLines w:val="0"/>
        <w:pageBreakBefore w:val="0"/>
        <w:spacing w:line="360" w:lineRule="auto"/>
        <w:jc w:val="center"/>
        <w:outlineLvl w:val="9"/>
        <w:rPr>
          <w:rFonts w:hint="eastAsia" w:ascii="宋体" w:hAnsi="宋体" w:eastAsia="宋体" w:cs="宋体"/>
          <w:b/>
          <w:bCs w:val="0"/>
          <w:color w:val="auto"/>
          <w:sz w:val="32"/>
          <w:szCs w:val="32"/>
          <w:highlight w:val="none"/>
          <w:lang w:val="en-US" w:eastAsia="zh-CN"/>
        </w:rPr>
      </w:pPr>
      <w:bookmarkStart w:id="173" w:name="OLE_LINK10"/>
      <w:r>
        <w:rPr>
          <w:rFonts w:hint="eastAsia" w:ascii="宋体" w:hAnsi="宋体" w:eastAsia="宋体" w:cs="宋体"/>
          <w:b/>
          <w:bCs w:val="0"/>
          <w:color w:val="auto"/>
          <w:sz w:val="32"/>
          <w:szCs w:val="32"/>
          <w:highlight w:val="none"/>
          <w:lang w:val="en-US" w:eastAsia="zh-CN"/>
        </w:rPr>
        <w:t>服务承诺函</w:t>
      </w:r>
      <w:bookmarkEnd w:id="173"/>
    </w:p>
    <w:p w14:paraId="780F3DC1">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rPr>
      </w:pPr>
    </w:p>
    <w:p w14:paraId="3D2E7F63">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eastAsia" w:ascii="宋体" w:hAnsi="宋体" w:eastAsia="宋体" w:cs="宋体"/>
          <w:color w:val="auto"/>
        </w:rPr>
      </w:pPr>
      <w:r>
        <w:rPr>
          <w:rFonts w:hint="eastAsia" w:ascii="宋体" w:hAnsi="宋体" w:eastAsia="宋体" w:cs="宋体"/>
          <w:b/>
          <w:color w:val="auto"/>
          <w:sz w:val="24"/>
          <w:u w:val="single"/>
        </w:rPr>
        <w:t>（采购单位名称）：</w:t>
      </w:r>
    </w:p>
    <w:p w14:paraId="497D9C0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根据</w:t>
      </w:r>
      <w:r>
        <w:rPr>
          <w:rFonts w:hint="eastAsia" w:ascii="宋体" w:hAnsi="宋体" w:eastAsia="宋体" w:cs="宋体"/>
          <w:color w:val="auto"/>
          <w:sz w:val="24"/>
          <w:u w:val="single"/>
        </w:rPr>
        <w:t>     （项目编号）</w:t>
      </w:r>
      <w:r>
        <w:rPr>
          <w:rFonts w:hint="eastAsia" w:ascii="宋体" w:hAnsi="宋体" w:eastAsia="宋体" w:cs="宋体"/>
          <w:color w:val="auto"/>
          <w:sz w:val="24"/>
        </w:rPr>
        <w:t>号</w:t>
      </w:r>
      <w:r>
        <w:rPr>
          <w:rFonts w:hint="eastAsia" w:ascii="宋体" w:hAnsi="宋体" w:eastAsia="宋体" w:cs="宋体"/>
          <w:color w:val="auto"/>
          <w:sz w:val="24"/>
          <w:u w:val="single"/>
        </w:rPr>
        <w:t>（项目名称）</w:t>
      </w:r>
      <w:r>
        <w:rPr>
          <w:rFonts w:hint="eastAsia" w:ascii="宋体" w:hAnsi="宋体" w:eastAsia="宋体" w:cs="宋体"/>
          <w:color w:val="auto"/>
          <w:sz w:val="24"/>
        </w:rPr>
        <w:t>单一来源采购文件相关要求承诺如下：</w:t>
      </w:r>
    </w:p>
    <w:p w14:paraId="467D829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完全响应本项目“第</w:t>
      </w:r>
      <w:r>
        <w:rPr>
          <w:rFonts w:hint="eastAsia" w:ascii="宋体" w:hAnsi="宋体" w:cs="宋体"/>
          <w:color w:val="auto"/>
          <w:sz w:val="24"/>
          <w:lang w:val="en-US" w:eastAsia="zh-CN"/>
        </w:rPr>
        <w:t>三</w:t>
      </w:r>
      <w:r>
        <w:rPr>
          <w:rFonts w:hint="eastAsia" w:ascii="宋体" w:hAnsi="宋体" w:eastAsia="宋体" w:cs="宋体"/>
          <w:color w:val="auto"/>
          <w:sz w:val="24"/>
        </w:rPr>
        <w:t>章、采购需求”中内容。如我单位成交，将无条件响应和实施。</w:t>
      </w:r>
    </w:p>
    <w:p w14:paraId="0CA8AEA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 xml:space="preserve">特此承诺。 </w:t>
      </w:r>
    </w:p>
    <w:p w14:paraId="70319C7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 </w:t>
      </w:r>
    </w:p>
    <w:p w14:paraId="2F78CC4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 </w:t>
      </w:r>
    </w:p>
    <w:p w14:paraId="49F7E73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 </w:t>
      </w:r>
    </w:p>
    <w:p w14:paraId="4F35B22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rPr>
      </w:pPr>
      <w:r>
        <w:rPr>
          <w:rFonts w:hint="eastAsia" w:ascii="宋体" w:hAnsi="宋体" w:eastAsia="宋体" w:cs="宋体"/>
          <w:color w:val="auto"/>
          <w:sz w:val="24"/>
        </w:rPr>
        <w:t> </w:t>
      </w:r>
    </w:p>
    <w:p w14:paraId="59E8DD1D">
      <w:pPr>
        <w:keepNext w:val="0"/>
        <w:keepLines w:val="0"/>
        <w:pageBreakBefore w:val="0"/>
        <w:tabs>
          <w:tab w:val="left" w:pos="4860"/>
        </w:tabs>
        <w:spacing w:line="360" w:lineRule="auto"/>
        <w:ind w:right="1560" w:firstLine="480"/>
        <w:jc w:val="right"/>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供应商全称（加盖CA电子公章）：</w:t>
      </w:r>
    </w:p>
    <w:p w14:paraId="68441190">
      <w:pPr>
        <w:keepNext w:val="0"/>
        <w:keepLines w:val="0"/>
        <w:pageBreakBefore w:val="0"/>
        <w:tabs>
          <w:tab w:val="left" w:pos="4860"/>
        </w:tabs>
        <w:spacing w:line="360" w:lineRule="auto"/>
        <w:ind w:right="1560" w:firstLine="480"/>
        <w:jc w:val="center"/>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日  期：</w:t>
      </w:r>
    </w:p>
    <w:p w14:paraId="781305F3">
      <w:pPr>
        <w:jc w:val="left"/>
        <w:rPr>
          <w:rFonts w:hint="eastAsia" w:ascii="宋体" w:hAnsi="宋体" w:eastAsia="宋体" w:cs="宋体"/>
          <w:b/>
          <w:bCs/>
          <w:color w:val="auto"/>
          <w:sz w:val="32"/>
          <w:szCs w:val="32"/>
          <w:highlight w:val="none"/>
        </w:rPr>
      </w:pPr>
    </w:p>
    <w:p w14:paraId="41520893">
      <w:pPr>
        <w:jc w:val="center"/>
        <w:rPr>
          <w:rFonts w:hint="eastAsia" w:ascii="宋体" w:hAnsi="宋体" w:eastAsia="宋体" w:cs="宋体"/>
          <w:b/>
          <w:color w:val="auto"/>
          <w:sz w:val="36"/>
          <w:szCs w:val="21"/>
          <w:highlight w:val="none"/>
        </w:rPr>
      </w:pPr>
    </w:p>
    <w:p w14:paraId="7A45B636">
      <w:pPr>
        <w:jc w:val="center"/>
        <w:rPr>
          <w:rFonts w:hint="eastAsia" w:ascii="宋体" w:hAnsi="宋体" w:eastAsia="宋体" w:cs="宋体"/>
          <w:b/>
          <w:color w:val="auto"/>
          <w:sz w:val="36"/>
          <w:szCs w:val="21"/>
          <w:highlight w:val="none"/>
        </w:rPr>
      </w:pPr>
    </w:p>
    <w:p w14:paraId="10F48F0A">
      <w:pPr>
        <w:jc w:val="center"/>
        <w:rPr>
          <w:rFonts w:hint="eastAsia" w:ascii="宋体" w:hAnsi="宋体" w:eastAsia="宋体" w:cs="宋体"/>
          <w:b/>
          <w:color w:val="auto"/>
          <w:sz w:val="36"/>
          <w:szCs w:val="21"/>
          <w:highlight w:val="none"/>
        </w:rPr>
      </w:pPr>
    </w:p>
    <w:p w14:paraId="5AE9C7B8">
      <w:pPr>
        <w:jc w:val="center"/>
        <w:rPr>
          <w:rFonts w:hint="eastAsia" w:ascii="宋体" w:hAnsi="宋体" w:eastAsia="宋体" w:cs="宋体"/>
          <w:b/>
          <w:color w:val="auto"/>
          <w:sz w:val="36"/>
          <w:szCs w:val="21"/>
          <w:highlight w:val="none"/>
        </w:rPr>
      </w:pPr>
    </w:p>
    <w:p w14:paraId="1B56BE4D">
      <w:pPr>
        <w:rPr>
          <w:rFonts w:hint="eastAsia" w:ascii="宋体" w:hAnsi="宋体" w:eastAsia="宋体" w:cs="宋体"/>
          <w:color w:val="auto"/>
          <w:sz w:val="32"/>
          <w:szCs w:val="21"/>
          <w:highlight w:val="none"/>
        </w:rPr>
      </w:pPr>
    </w:p>
    <w:p w14:paraId="1D753EC6">
      <w:pPr>
        <w:rPr>
          <w:rFonts w:hint="eastAsia" w:ascii="宋体" w:hAnsi="宋体" w:eastAsia="宋体" w:cs="宋体"/>
          <w:color w:val="auto"/>
          <w:sz w:val="32"/>
          <w:szCs w:val="21"/>
          <w:highlight w:val="none"/>
        </w:rPr>
      </w:pPr>
    </w:p>
    <w:p w14:paraId="335A232B">
      <w:pPr>
        <w:rPr>
          <w:rFonts w:hint="eastAsia" w:ascii="宋体" w:hAnsi="宋体" w:eastAsia="宋体" w:cs="宋体"/>
          <w:color w:val="auto"/>
          <w:sz w:val="32"/>
          <w:szCs w:val="21"/>
          <w:highlight w:val="none"/>
        </w:rPr>
      </w:pPr>
    </w:p>
    <w:p w14:paraId="25E795AD">
      <w:pPr>
        <w:rPr>
          <w:rFonts w:hint="eastAsia" w:ascii="宋体" w:hAnsi="宋体" w:eastAsia="宋体" w:cs="宋体"/>
          <w:color w:val="auto"/>
          <w:sz w:val="32"/>
          <w:szCs w:val="21"/>
          <w:highlight w:val="none"/>
        </w:rPr>
      </w:pPr>
    </w:p>
    <w:p w14:paraId="6F7523BB">
      <w:pPr>
        <w:rPr>
          <w:rFonts w:hint="eastAsia" w:ascii="宋体" w:hAnsi="宋体" w:eastAsia="宋体" w:cs="宋体"/>
          <w:color w:val="auto"/>
          <w:sz w:val="32"/>
          <w:szCs w:val="21"/>
          <w:highlight w:val="none"/>
        </w:rPr>
      </w:pPr>
    </w:p>
    <w:p w14:paraId="2430ECA1">
      <w:pPr>
        <w:rPr>
          <w:rFonts w:hint="eastAsia" w:ascii="宋体" w:hAnsi="宋体" w:eastAsia="宋体" w:cs="宋体"/>
          <w:color w:val="auto"/>
          <w:sz w:val="32"/>
          <w:szCs w:val="21"/>
          <w:highlight w:val="none"/>
        </w:rPr>
      </w:pPr>
    </w:p>
    <w:p w14:paraId="549A3120">
      <w:pPr>
        <w:rPr>
          <w:rFonts w:hint="eastAsia" w:ascii="宋体" w:hAnsi="宋体" w:eastAsia="宋体" w:cs="宋体"/>
          <w:color w:val="auto"/>
          <w:sz w:val="32"/>
          <w:szCs w:val="21"/>
          <w:highlight w:val="none"/>
        </w:rPr>
      </w:pPr>
    </w:p>
    <w:p w14:paraId="2A506E43">
      <w:pPr>
        <w:pStyle w:val="195"/>
        <w:outlineLvl w:val="1"/>
        <w:rPr>
          <w:rFonts w:hint="eastAsia" w:ascii="宋体" w:hAnsi="宋体" w:eastAsia="宋体" w:cs="宋体"/>
          <w:color w:val="auto"/>
          <w:highlight w:val="none"/>
        </w:rPr>
      </w:pPr>
    </w:p>
    <w:bookmarkEnd w:id="160"/>
    <w:bookmarkEnd w:id="161"/>
    <w:bookmarkEnd w:id="169"/>
    <w:p w14:paraId="7873A229">
      <w:pPr>
        <w:pStyle w:val="195"/>
        <w:outlineLvl w:val="1"/>
        <w:rPr>
          <w:rFonts w:hint="eastAsia" w:ascii="宋体" w:hAnsi="宋体" w:eastAsia="宋体" w:cs="宋体"/>
          <w:color w:val="auto"/>
          <w:highlight w:val="none"/>
        </w:rPr>
      </w:pPr>
    </w:p>
    <w:p w14:paraId="1C5AF4E5">
      <w:pPr>
        <w:keepNext/>
        <w:keepLines/>
        <w:spacing w:before="0" w:after="0" w:line="520" w:lineRule="exact"/>
        <w:outlineLvl w:val="1"/>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t>七</w:t>
      </w:r>
      <w:r>
        <w:rPr>
          <w:rFonts w:hint="eastAsia" w:ascii="宋体" w:hAnsi="宋体" w:eastAsia="宋体" w:cs="宋体"/>
          <w:b/>
          <w:bCs/>
          <w:color w:val="000000"/>
          <w:sz w:val="32"/>
          <w:szCs w:val="32"/>
          <w:highlight w:val="none"/>
          <w:lang w:val="en-US" w:eastAsia="zh-CN"/>
        </w:rPr>
        <w:t>、</w:t>
      </w:r>
      <w:r>
        <w:rPr>
          <w:rFonts w:hint="eastAsia" w:ascii="宋体" w:hAnsi="宋体" w:eastAsia="宋体" w:cs="宋体"/>
          <w:b/>
          <w:bCs/>
          <w:color w:val="000000"/>
          <w:sz w:val="32"/>
          <w:szCs w:val="32"/>
          <w:highlight w:val="none"/>
        </w:rPr>
        <w:t>技术响应偏离表（技术参数响应）</w:t>
      </w:r>
    </w:p>
    <w:tbl>
      <w:tblPr>
        <w:tblStyle w:val="29"/>
        <w:tblW w:w="0" w:type="auto"/>
        <w:tblInd w:w="-225" w:type="dxa"/>
        <w:tblLayout w:type="autofit"/>
        <w:tblCellMar>
          <w:top w:w="0" w:type="dxa"/>
          <w:left w:w="108" w:type="dxa"/>
          <w:bottom w:w="0" w:type="dxa"/>
          <w:right w:w="108" w:type="dxa"/>
        </w:tblCellMar>
      </w:tblPr>
      <w:tblGrid>
        <w:gridCol w:w="2791"/>
        <w:gridCol w:w="2386"/>
        <w:gridCol w:w="1994"/>
        <w:gridCol w:w="2223"/>
      </w:tblGrid>
      <w:tr w14:paraId="4FB6725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0643C3D7">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130DF59A">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5A1D3976">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5EFEEF86">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22A51F0C">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1D43C84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5BF19FB">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B73251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444C2B6">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6753BF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119D03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141FCE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EE1A8F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20BD3A6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743B2C2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4E15AD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D679E2F">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E73AA9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441259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118124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27B399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D0BB98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04A93A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5CEC622">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C38D92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35F67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3A1941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FC0D6C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D93C6C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CA7539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EB13FE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524EA3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283B4D3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783088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00CFC7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45FB431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A8A252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8FB841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E33B33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FEEA89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647245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2C383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29C56D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239684CC">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57711E6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21F399E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CA6183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0FEC01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1245E03">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8A6C9F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6EBE06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55CF3A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01981A8">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CF4210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F52212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5B5C26C4">
      <w:pPr>
        <w:spacing w:line="559" w:lineRule="atLeast"/>
        <w:jc w:val="right"/>
        <w:rPr>
          <w:rFonts w:ascii="宋体" w:hAnsi="宋体" w:cs="仿宋"/>
          <w:color w:val="000000"/>
          <w:highlight w:val="none"/>
        </w:rPr>
      </w:pPr>
      <w:r>
        <w:rPr>
          <w:rFonts w:hint="eastAsia" w:ascii="宋体" w:hAnsi="宋体" w:cs="仿宋"/>
          <w:color w:val="000000"/>
          <w:sz w:val="24"/>
          <w:highlight w:val="none"/>
        </w:rPr>
        <w:t>单位名称：</w:t>
      </w:r>
      <w:r>
        <w:rPr>
          <w:rFonts w:hint="eastAsia" w:ascii="宋体" w:hAnsi="宋体" w:cs="仿宋"/>
          <w:color w:val="000000"/>
          <w:sz w:val="24"/>
          <w:highlight w:val="none"/>
          <w:u w:val="single"/>
        </w:rPr>
        <w:t>             </w:t>
      </w:r>
      <w:r>
        <w:rPr>
          <w:rFonts w:hint="eastAsia" w:ascii="宋体" w:hAnsi="宋体" w:cs="仿宋"/>
          <w:color w:val="000000"/>
          <w:sz w:val="24"/>
          <w:highlight w:val="none"/>
        </w:rPr>
        <w:t>（</w:t>
      </w:r>
      <w:r>
        <w:rPr>
          <w:rFonts w:ascii="宋体" w:hAnsi="宋体" w:cs="仿宋"/>
          <w:color w:val="000000"/>
          <w:sz w:val="24"/>
          <w:highlight w:val="none"/>
        </w:rPr>
        <w:t>盖</w:t>
      </w:r>
      <w:r>
        <w:rPr>
          <w:rFonts w:hint="eastAsia" w:ascii="宋体" w:hAnsi="宋体" w:cs="仿宋"/>
          <w:color w:val="000000"/>
          <w:sz w:val="24"/>
          <w:highlight w:val="none"/>
        </w:rPr>
        <w:t>CA</w:t>
      </w:r>
      <w:r>
        <w:rPr>
          <w:rFonts w:ascii="宋体" w:hAnsi="宋体" w:cs="仿宋"/>
          <w:color w:val="000000"/>
          <w:sz w:val="24"/>
          <w:highlight w:val="none"/>
        </w:rPr>
        <w:t>电子公章）</w:t>
      </w:r>
    </w:p>
    <w:p w14:paraId="6EDCA53A">
      <w:pPr>
        <w:widowControl w:val="0"/>
        <w:spacing w:before="0" w:beforeAutospacing="0" w:after="0" w:afterAutospacing="0" w:line="400" w:lineRule="exact"/>
        <w:ind w:firstLine="482"/>
        <w:jc w:val="both"/>
        <w:rPr>
          <w:rFonts w:hint="default" w:ascii="宋体" w:hAnsi="宋体" w:eastAsia="宋体" w:cs="仿宋"/>
          <w:b/>
          <w:bCs/>
          <w:color w:val="000000"/>
          <w:sz w:val="24"/>
          <w:szCs w:val="28"/>
          <w:highlight w:val="none"/>
          <w:lang w:val="en-US" w:eastAsia="zh-CN" w:bidi="ar-SA"/>
        </w:rPr>
      </w:pPr>
    </w:p>
    <w:p w14:paraId="3605F444">
      <w:pPr>
        <w:widowControl w:val="0"/>
        <w:spacing w:before="0" w:beforeAutospacing="0" w:after="0" w:afterAutospacing="0" w:line="400" w:lineRule="exact"/>
        <w:ind w:firstLine="482"/>
        <w:jc w:val="both"/>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备注：</w:t>
      </w:r>
      <w:r>
        <w:rPr>
          <w:rFonts w:hint="eastAsia" w:ascii="Times New Roman" w:hAnsi="Times New Roman" w:eastAsia="宋体" w:cs="仿宋"/>
          <w:color w:val="000000"/>
          <w:sz w:val="24"/>
          <w:szCs w:val="28"/>
          <w:highlight w:val="none"/>
          <w:lang w:val="en-US" w:eastAsia="zh-CN" w:bidi="ar-SA"/>
        </w:rPr>
        <w:t>1</w:t>
      </w:r>
      <w:bookmarkStart w:id="174" w:name="_Hlk187934629"/>
      <w:r>
        <w:rPr>
          <w:rFonts w:hint="eastAsia" w:ascii="Times New Roman" w:hAnsi="Times New Roman" w:eastAsia="宋体" w:cs="仿宋"/>
          <w:color w:val="000000"/>
          <w:sz w:val="24"/>
          <w:szCs w:val="28"/>
          <w:highlight w:val="none"/>
          <w:lang w:val="en-US" w:eastAsia="zh-CN" w:bidi="ar-SA"/>
        </w:rPr>
        <w:t>.</w:t>
      </w:r>
      <w:r>
        <w:rPr>
          <w:rFonts w:hint="eastAsia" w:ascii="Times New Roman" w:hAnsi="Times New Roman" w:eastAsia="宋体" w:cs="宋体"/>
          <w:color w:val="000000"/>
          <w:sz w:val="24"/>
          <w:szCs w:val="20"/>
          <w:highlight w:val="none"/>
          <w:lang w:val="en-US" w:eastAsia="zh-CN" w:bidi="ar-SA"/>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作无效响应处理。</w:t>
      </w:r>
    </w:p>
    <w:p w14:paraId="608BC1F9">
      <w:pPr>
        <w:widowControl w:val="0"/>
        <w:spacing w:before="0" w:beforeAutospacing="0" w:after="0" w:afterAutospacing="0" w:line="400" w:lineRule="exact"/>
        <w:ind w:firstLine="480"/>
        <w:jc w:val="both"/>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2.对采购需求的其它非实质性要求，投标人按所投产品情况</w:t>
      </w:r>
      <w:r>
        <w:rPr>
          <w:rFonts w:hint="default" w:ascii="Times New Roman" w:hAnsi="Times New Roman" w:eastAsia="宋体" w:cs="仿宋"/>
          <w:color w:val="000000"/>
          <w:sz w:val="24"/>
          <w:szCs w:val="28"/>
          <w:highlight w:val="none"/>
          <w:lang w:val="en-US" w:eastAsia="zh-CN" w:bidi="ar-SA"/>
        </w:rPr>
        <w:t>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；未列明的均视为未响应招标文件要求</w:t>
      </w:r>
      <w:r>
        <w:rPr>
          <w:rFonts w:hint="default" w:ascii="Times New Roman" w:hAnsi="Times New Roman" w:eastAsia="宋体" w:cs="仿宋"/>
          <w:color w:val="000000"/>
          <w:sz w:val="24"/>
          <w:szCs w:val="28"/>
          <w:highlight w:val="none"/>
          <w:lang w:val="en-US" w:eastAsia="zh-CN" w:bidi="ar-SA"/>
        </w:rPr>
        <w:t>。</w:t>
      </w:r>
    </w:p>
    <w:bookmarkEnd w:id="174"/>
    <w:p w14:paraId="799BF858">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000000"/>
          <w:sz w:val="24"/>
          <w:szCs w:val="21"/>
          <w:highlight w:val="none"/>
        </w:rPr>
      </w:pPr>
    </w:p>
    <w:p w14:paraId="4DE9FE5F">
      <w:pPr>
        <w:pStyle w:val="200"/>
        <w:jc w:val="left"/>
        <w:outlineLvl w:val="1"/>
        <w:rPr>
          <w:rFonts w:hint="eastAsia" w:ascii="宋体" w:hAnsi="宋体" w:eastAsia="宋体" w:cs="宋体"/>
          <w:b/>
          <w:color w:val="auto"/>
          <w:sz w:val="32"/>
          <w:szCs w:val="32"/>
          <w:highlight w:val="none"/>
          <w:lang w:val="en-US" w:eastAsia="zh-CN" w:bidi="ar-SA"/>
        </w:rPr>
      </w:pPr>
    </w:p>
    <w:p w14:paraId="5511BB71">
      <w:pPr>
        <w:pStyle w:val="200"/>
        <w:jc w:val="left"/>
        <w:outlineLvl w:val="1"/>
        <w:rPr>
          <w:rFonts w:hint="eastAsia" w:ascii="宋体" w:hAnsi="宋体" w:eastAsia="宋体" w:cs="宋体"/>
          <w:b/>
          <w:color w:val="auto"/>
          <w:sz w:val="32"/>
          <w:szCs w:val="32"/>
          <w:highlight w:val="none"/>
          <w:lang w:val="en-US" w:eastAsia="zh-CN" w:bidi="ar-SA"/>
        </w:rPr>
      </w:pPr>
    </w:p>
    <w:p w14:paraId="48A6D371">
      <w:pPr>
        <w:pStyle w:val="200"/>
        <w:jc w:val="left"/>
        <w:outlineLvl w:val="1"/>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八、单一来源所需的其他资料</w:t>
      </w:r>
    </w:p>
    <w:p w14:paraId="6E443AA0">
      <w:pPr>
        <w:widowControl w:val="0"/>
        <w:ind w:firstLine="480"/>
        <w:jc w:val="both"/>
        <w:rPr>
          <w:rStyle w:val="201"/>
          <w:rFonts w:hint="eastAsia" w:ascii="宋体" w:hAnsi="宋体" w:eastAsia="宋体" w:cs="宋体"/>
          <w:color w:val="auto"/>
          <w:sz w:val="24"/>
          <w:szCs w:val="28"/>
          <w:highlight w:val="none"/>
          <w:lang w:val="en-US" w:eastAsia="zh-CN" w:bidi="ar-SA"/>
        </w:rPr>
      </w:pPr>
      <w:r>
        <w:rPr>
          <w:rStyle w:val="201"/>
          <w:rFonts w:hint="eastAsia" w:ascii="宋体" w:hAnsi="宋体" w:eastAsia="宋体" w:cs="宋体"/>
          <w:color w:val="auto"/>
          <w:sz w:val="24"/>
          <w:szCs w:val="28"/>
          <w:highlight w:val="none"/>
          <w:lang w:val="en-US" w:eastAsia="zh-CN" w:bidi="ar-SA"/>
        </w:rPr>
        <w:t>请在此文档中增加单一来源所需其他相关内容（供应商认为有必要提供的资料，如没有请将此空文档上传。）</w:t>
      </w:r>
    </w:p>
    <w:p w14:paraId="4EAD5E86">
      <w:pPr>
        <w:rPr>
          <w:rFonts w:hint="eastAsia" w:ascii="宋体" w:hAnsi="宋体" w:eastAsia="宋体" w:cs="宋体"/>
          <w:color w:val="auto"/>
        </w:rPr>
      </w:pPr>
      <w:bookmarkStart w:id="175" w:name="_GoBack"/>
      <w:bookmarkEnd w:id="175"/>
    </w:p>
    <w:sectPr>
      <w:headerReference r:id="rId3" w:type="default"/>
      <w:footerReference r:id="rId4" w:type="default"/>
      <w:type w:val="continuous"/>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9583D">
    <w:pPr>
      <w:pStyle w:val="198"/>
      <w:framePr w:wrap="around" w:vAnchor="text" w:hAnchor="margin" w:xAlign="center" w:y="1"/>
      <w:rPr>
        <w:rStyle w:val="199"/>
        <w:rFonts w:ascii="宋体" w:hAnsi="宋体"/>
      </w:rPr>
    </w:pPr>
    <w:r>
      <w:rPr>
        <w:rFonts w:ascii="宋体" w:hAnsi="宋体"/>
      </w:rPr>
      <w:fldChar w:fldCharType="begin"/>
    </w:r>
    <w:r>
      <w:rPr>
        <w:rStyle w:val="199"/>
        <w:rFonts w:ascii="宋体" w:hAnsi="宋体"/>
      </w:rPr>
      <w:instrText xml:space="preserve">PAGE  </w:instrText>
    </w:r>
    <w:r>
      <w:rPr>
        <w:rFonts w:ascii="宋体" w:hAnsi="宋体"/>
      </w:rPr>
      <w:fldChar w:fldCharType="separate"/>
    </w:r>
    <w:r>
      <w:rPr>
        <w:rStyle w:val="199"/>
        <w:rFonts w:ascii="宋体" w:hAnsi="宋体"/>
      </w:rPr>
      <w:t>４０</w:t>
    </w:r>
    <w:r>
      <w:rPr>
        <w:rFonts w:ascii="宋体" w:hAnsi="宋体"/>
      </w:rPr>
      <w:fldChar w:fldCharType="end"/>
    </w:r>
  </w:p>
  <w:p w14:paraId="7CE86C08">
    <w:pPr>
      <w:pStyle w:val="198"/>
      <w:jc w:val="center"/>
      <w:rPr>
        <w:rFonts w:hint="eastAsia"/>
        <w:b/>
        <w:i/>
      </w:rPr>
    </w:pP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EA883">
    <w:pPr>
      <w:pStyle w:val="19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9183D"/>
    <w:rsid w:val="10255C16"/>
    <w:rsid w:val="140E7DA0"/>
    <w:rsid w:val="278667AB"/>
    <w:rsid w:val="2866676F"/>
    <w:rsid w:val="366C00C0"/>
    <w:rsid w:val="3FA64893"/>
    <w:rsid w:val="464B4C30"/>
    <w:rsid w:val="4E372300"/>
    <w:rsid w:val="669D7279"/>
    <w:rsid w:val="68866AEE"/>
    <w:rsid w:val="70097962"/>
    <w:rsid w:val="744765D2"/>
    <w:rsid w:val="799F5E07"/>
    <w:rsid w:val="79D157DB"/>
    <w:rsid w:val="7AA47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1"/>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1"/>
    <w:semiHidden/>
    <w:unhideWhenUsed/>
    <w:qFormat/>
    <w:uiPriority w:val="99"/>
    <w:pPr>
      <w:spacing w:after="0" w:line="240" w:lineRule="auto"/>
    </w:pPr>
    <w:rPr>
      <w:sz w:val="20"/>
    </w:rPr>
  </w:style>
  <w:style w:type="paragraph" w:styleId="17">
    <w:name w:val="footer"/>
    <w:basedOn w:val="1"/>
    <w:link w:val="54"/>
    <w:unhideWhenUsed/>
    <w:qFormat/>
    <w:uiPriority w:val="99"/>
    <w:pPr>
      <w:tabs>
        <w:tab w:val="center" w:pos="7143"/>
        <w:tab w:val="right" w:pos="14287"/>
      </w:tabs>
      <w:spacing w:after="0" w:line="240" w:lineRule="auto"/>
    </w:pPr>
  </w:style>
  <w:style w:type="paragraph" w:styleId="18">
    <w:name w:val="header"/>
    <w:basedOn w:val="1"/>
    <w:link w:val="52"/>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7"/>
    <w:qFormat/>
    <w:uiPriority w:val="11"/>
    <w:pPr>
      <w:spacing w:before="200" w:after="200"/>
    </w:pPr>
    <w:rPr>
      <w:sz w:val="24"/>
      <w:szCs w:val="24"/>
    </w:rPr>
  </w:style>
  <w:style w:type="paragraph" w:styleId="22">
    <w:name w:val="footnote text"/>
    <w:basedOn w:val="1"/>
    <w:link w:val="180"/>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28">
    <w:name w:val="Title"/>
    <w:basedOn w:val="1"/>
    <w:next w:val="1"/>
    <w:link w:val="46"/>
    <w:qFormat/>
    <w:uiPriority w:val="10"/>
    <w:pPr>
      <w:spacing w:before="300" w:after="200"/>
      <w:contextualSpacing/>
    </w:pPr>
    <w:rPr>
      <w:sz w:val="48"/>
      <w:szCs w:val="48"/>
    </w:rPr>
  </w:style>
  <w:style w:type="table" w:styleId="30">
    <w:name w:val="Table Grid"/>
    <w:basedOn w:val="2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basedOn w:val="31"/>
    <w:semiHidden/>
    <w:unhideWhenUsed/>
    <w:qFormat/>
    <w:uiPriority w:val="99"/>
    <w:rPr>
      <w:vertAlign w:val="superscript"/>
    </w:rPr>
  </w:style>
  <w:style w:type="character" w:styleId="33">
    <w:name w:val="Hyperlink"/>
    <w:unhideWhenUsed/>
    <w:qFormat/>
    <w:uiPriority w:val="99"/>
    <w:rPr>
      <w:color w:val="0026E5" w:themeColor="hyperlink"/>
      <w:u w:val="single"/>
      <w14:textFill>
        <w14:solidFill>
          <w14:schemeClr w14:val="hlink"/>
        </w14:solidFill>
      </w14:textFill>
    </w:rPr>
  </w:style>
  <w:style w:type="character" w:styleId="34">
    <w:name w:val="footnote reference"/>
    <w:basedOn w:val="31"/>
    <w:unhideWhenUsed/>
    <w:qFormat/>
    <w:uiPriority w:val="99"/>
    <w:rPr>
      <w:vertAlign w:val="superscript"/>
    </w:rPr>
  </w:style>
  <w:style w:type="character" w:customStyle="1" w:styleId="35">
    <w:name w:val="Heading 1 Char"/>
    <w:basedOn w:val="31"/>
    <w:link w:val="2"/>
    <w:qFormat/>
    <w:uiPriority w:val="9"/>
    <w:rPr>
      <w:rFonts w:ascii="Arial" w:hAnsi="Arial" w:eastAsia="Arial" w:cs="Arial"/>
      <w:sz w:val="40"/>
      <w:szCs w:val="40"/>
    </w:rPr>
  </w:style>
  <w:style w:type="character" w:customStyle="1" w:styleId="36">
    <w:name w:val="Heading 2 Char"/>
    <w:basedOn w:val="31"/>
    <w:link w:val="3"/>
    <w:qFormat/>
    <w:uiPriority w:val="9"/>
    <w:rPr>
      <w:rFonts w:ascii="Arial" w:hAnsi="Arial" w:eastAsia="Arial" w:cs="Arial"/>
      <w:sz w:val="34"/>
    </w:rPr>
  </w:style>
  <w:style w:type="character" w:customStyle="1" w:styleId="37">
    <w:name w:val="Heading 3 Char"/>
    <w:basedOn w:val="31"/>
    <w:link w:val="4"/>
    <w:qFormat/>
    <w:uiPriority w:val="9"/>
    <w:rPr>
      <w:rFonts w:ascii="Arial" w:hAnsi="Arial" w:eastAsia="Arial" w:cs="Arial"/>
      <w:sz w:val="30"/>
      <w:szCs w:val="30"/>
    </w:rPr>
  </w:style>
  <w:style w:type="character" w:customStyle="1" w:styleId="38">
    <w:name w:val="Heading 4 Char"/>
    <w:basedOn w:val="31"/>
    <w:link w:val="5"/>
    <w:qFormat/>
    <w:uiPriority w:val="9"/>
    <w:rPr>
      <w:rFonts w:ascii="Arial" w:hAnsi="Arial" w:eastAsia="Arial" w:cs="Arial"/>
      <w:b/>
      <w:bCs/>
      <w:sz w:val="26"/>
      <w:szCs w:val="26"/>
    </w:rPr>
  </w:style>
  <w:style w:type="character" w:customStyle="1" w:styleId="39">
    <w:name w:val="Heading 5 Char"/>
    <w:basedOn w:val="31"/>
    <w:link w:val="6"/>
    <w:qFormat/>
    <w:uiPriority w:val="9"/>
    <w:rPr>
      <w:rFonts w:ascii="Arial" w:hAnsi="Arial" w:eastAsia="Arial" w:cs="Arial"/>
      <w:b/>
      <w:bCs/>
      <w:sz w:val="24"/>
      <w:szCs w:val="24"/>
    </w:rPr>
  </w:style>
  <w:style w:type="character" w:customStyle="1" w:styleId="40">
    <w:name w:val="Heading 6 Char"/>
    <w:basedOn w:val="31"/>
    <w:link w:val="7"/>
    <w:qFormat/>
    <w:uiPriority w:val="9"/>
    <w:rPr>
      <w:rFonts w:ascii="Arial" w:hAnsi="Arial" w:eastAsia="Arial" w:cs="Arial"/>
      <w:b/>
      <w:bCs/>
      <w:sz w:val="22"/>
      <w:szCs w:val="22"/>
    </w:rPr>
  </w:style>
  <w:style w:type="character" w:customStyle="1" w:styleId="41">
    <w:name w:val="Heading 7 Char"/>
    <w:basedOn w:val="31"/>
    <w:link w:val="8"/>
    <w:qFormat/>
    <w:uiPriority w:val="9"/>
    <w:rPr>
      <w:rFonts w:ascii="Arial" w:hAnsi="Arial" w:eastAsia="Arial" w:cs="Arial"/>
      <w:b/>
      <w:bCs/>
      <w:i/>
      <w:iCs/>
      <w:sz w:val="22"/>
      <w:szCs w:val="22"/>
    </w:rPr>
  </w:style>
  <w:style w:type="character" w:customStyle="1" w:styleId="42">
    <w:name w:val="Heading 8 Char"/>
    <w:basedOn w:val="31"/>
    <w:link w:val="9"/>
    <w:qFormat/>
    <w:uiPriority w:val="9"/>
    <w:rPr>
      <w:rFonts w:ascii="Arial" w:hAnsi="Arial" w:eastAsia="Arial" w:cs="Arial"/>
      <w:i/>
      <w:iCs/>
      <w:sz w:val="22"/>
      <w:szCs w:val="22"/>
    </w:rPr>
  </w:style>
  <w:style w:type="character" w:customStyle="1" w:styleId="43">
    <w:name w:val="Heading 9 Char"/>
    <w:basedOn w:val="31"/>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basedOn w:val="31"/>
    <w:link w:val="28"/>
    <w:qFormat/>
    <w:uiPriority w:val="10"/>
    <w:rPr>
      <w:sz w:val="48"/>
      <w:szCs w:val="48"/>
    </w:rPr>
  </w:style>
  <w:style w:type="character" w:customStyle="1" w:styleId="47">
    <w:name w:val="Subtitle Char"/>
    <w:basedOn w:val="31"/>
    <w:link w:val="21"/>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basedOn w:val="31"/>
    <w:link w:val="18"/>
    <w:qFormat/>
    <w:uiPriority w:val="99"/>
  </w:style>
  <w:style w:type="character" w:customStyle="1" w:styleId="53">
    <w:name w:val="Footer Char"/>
    <w:basedOn w:val="31"/>
    <w:link w:val="17"/>
    <w:qFormat/>
    <w:uiPriority w:val="99"/>
  </w:style>
  <w:style w:type="character" w:customStyle="1" w:styleId="54">
    <w:name w:val="Caption Char"/>
    <w:link w:val="17"/>
    <w:qFormat/>
    <w:uiPriority w:val="99"/>
  </w:style>
  <w:style w:type="table" w:customStyle="1" w:styleId="55">
    <w:name w:val="Table Grid Light"/>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2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2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2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2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2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3">
    <w:name w:val="Grid Table 1 Light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4">
    <w:name w:val="Grid Table 1 Light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5">
    <w:name w:val="Grid Table 1 Light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6">
    <w:name w:val="Grid Table 1 Light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7">
    <w:name w:val="Grid Table 1 Light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8">
    <w:name w:val="Grid Table 2"/>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0">
    <w:name w:val="Grid Table 2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1">
    <w:name w:val="Grid Table 2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2">
    <w:name w:val="Grid Table 2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3">
    <w:name w:val="Grid Table 2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4">
    <w:name w:val="Grid Table 2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5">
    <w:name w:val="Grid Table 3"/>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3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3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3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3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3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4"/>
    <w:basedOn w:val="2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basedOn w:val="29"/>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4">
    <w:name w:val="Grid Table 4 - Accent 2"/>
    <w:basedOn w:val="2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4 - Accent 3"/>
    <w:basedOn w:val="29"/>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4 - Accent 4"/>
    <w:basedOn w:val="29"/>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4 - Accent 5"/>
    <w:basedOn w:val="29"/>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4 - Accent 6"/>
    <w:basedOn w:val="29"/>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5 Dark"/>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1">
    <w:name w:val="Grid Table 5 Dark - Accent 2"/>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2">
    <w:name w:val="Grid Table 5 Dark - Accent 3"/>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3">
    <w:name w:val="Grid Table 5 Dark- Accent 4"/>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4">
    <w:name w:val="Grid Table 5 Dark - Accent 5"/>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5">
    <w:name w:val="Grid Table 5 Dark - Accent 6"/>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6">
    <w:name w:val="Grid Table 6 Colorful"/>
    <w:basedOn w:val="2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basedOn w:val="2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basedOn w:val="2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basedOn w:val="29"/>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2">
    <w:name w:val="Grid Table 6 Colorful - Accent 6"/>
    <w:basedOn w:val="2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3">
    <w:name w:val="Grid Table 7 Colorful"/>
    <w:basedOn w:val="2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basedOn w:val="2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basedOn w:val="29"/>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basedOn w:val="29"/>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basedOn w:val="2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basedOn w:val="2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7 Colorful - Accent 6"/>
    <w:basedOn w:val="2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0">
    <w:name w:val="List Table 1 Light"/>
    <w:basedOn w:val="2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2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2">
    <w:name w:val="List Table 1 Light - Accent 2"/>
    <w:basedOn w:val="29"/>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3">
    <w:name w:val="List Table 1 Light - Accent 3"/>
    <w:basedOn w:val="2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4">
    <w:name w:val="List Table 1 Light - Accent 4"/>
    <w:basedOn w:val="2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5">
    <w:name w:val="List Table 1 Light - Accent 5"/>
    <w:basedOn w:val="2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6">
    <w:name w:val="List Table 1 Light - Accent 6"/>
    <w:basedOn w:val="2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7">
    <w:name w:val="List Table 2"/>
    <w:basedOn w:val="2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basedOn w:val="2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9">
    <w:name w:val="List Table 2 - Accent 2"/>
    <w:basedOn w:val="2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0">
    <w:name w:val="List Table 2 - Accent 3"/>
    <w:basedOn w:val="29"/>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1">
    <w:name w:val="List Table 2 - Accent 4"/>
    <w:basedOn w:val="29"/>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2">
    <w:name w:val="List Table 2 - Accent 5"/>
    <w:basedOn w:val="29"/>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3">
    <w:name w:val="List Table 2 - Accent 6"/>
    <w:basedOn w:val="29"/>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4">
    <w:name w:val="List Table 3"/>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29"/>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6">
    <w:name w:val="List Table 3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7">
    <w:name w:val="List Table 3 - Accent 3"/>
    <w:basedOn w:val="29"/>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8">
    <w:name w:val="List Table 3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9">
    <w:name w:val="List Table 3 - Accent 5"/>
    <w:basedOn w:val="29"/>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0">
    <w:name w:val="List Table 3 - Accent 6"/>
    <w:basedOn w:val="29"/>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1">
    <w:name w:val="List Table 4"/>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basedOn w:val="29"/>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4 - Accent 2"/>
    <w:basedOn w:val="29"/>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4 - Accent 3"/>
    <w:basedOn w:val="29"/>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4 - Accent 4"/>
    <w:basedOn w:val="29"/>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4 - Accent 5"/>
    <w:basedOn w:val="29"/>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4 - Accent 6"/>
    <w:basedOn w:val="29"/>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List Table 5 Dark"/>
    <w:basedOn w:val="2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29"/>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0">
    <w:name w:val="List Table 5 Dark - Accent 2"/>
    <w:basedOn w:val="29"/>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1">
    <w:name w:val="List Table 5 Dark - Accent 3"/>
    <w:basedOn w:val="29"/>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2">
    <w:name w:val="List Table 5 Dark - Accent 4"/>
    <w:basedOn w:val="29"/>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3">
    <w:name w:val="List Table 5 Dark - Accent 5"/>
    <w:basedOn w:val="2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4">
    <w:name w:val="List Table 5 Dark - Accent 6"/>
    <w:basedOn w:val="29"/>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5">
    <w:name w:val="List Table 6 Colorful"/>
    <w:basedOn w:val="2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basedOn w:val="29"/>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7">
    <w:name w:val="List Table 6 Colorful - Accent 2"/>
    <w:basedOn w:val="29"/>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basedOn w:val="29"/>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basedOn w:val="29"/>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basedOn w:val="29"/>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basedOn w:val="2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2">
    <w:name w:val="List Table 7 Colorful"/>
    <w:basedOn w:val="2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basedOn w:val="29"/>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7 Colorful - Accent 2"/>
    <w:basedOn w:val="29"/>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basedOn w:val="29"/>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basedOn w:val="29"/>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basedOn w:val="29"/>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basedOn w:val="29"/>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ned - Accent"/>
    <w:basedOn w:val="2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basedOn w:val="29"/>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1">
    <w:name w:val="Lined - Accent 2"/>
    <w:basedOn w:val="29"/>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2">
    <w:name w:val="Lined - Accent 3"/>
    <w:basedOn w:val="29"/>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3">
    <w:name w:val="Lined - Accent 4"/>
    <w:basedOn w:val="29"/>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4">
    <w:name w:val="Lined - Accent 5"/>
    <w:basedOn w:val="29"/>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5">
    <w:name w:val="Lined - Accent 6"/>
    <w:basedOn w:val="29"/>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6">
    <w:name w:val="Bordered &amp; Lined - Accent"/>
    <w:basedOn w:val="2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basedOn w:val="29"/>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Bordered &amp; Lined - Accent 2"/>
    <w:basedOn w:val="2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Bordered &amp; Lined - Accent 3"/>
    <w:basedOn w:val="2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Bordered &amp; Lined - Accent 4"/>
    <w:basedOn w:val="2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Bordered &amp; Lined - Accent 5"/>
    <w:basedOn w:val="2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Bordered &amp; Lined - Accent 6"/>
    <w:basedOn w:val="2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w:basedOn w:val="2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5">
    <w:name w:val="Bordered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6">
    <w:name w:val="Bordered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7">
    <w:name w:val="Bordered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8">
    <w:name w:val="Bordered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9">
    <w:name w:val="Bordered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0">
    <w:name w:val="Footnote Text Char"/>
    <w:link w:val="22"/>
    <w:qFormat/>
    <w:uiPriority w:val="99"/>
    <w:rPr>
      <w:sz w:val="18"/>
    </w:rPr>
  </w:style>
  <w:style w:type="character" w:customStyle="1" w:styleId="181">
    <w:name w:val="Endnote Text Char"/>
    <w:link w:val="16"/>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41"/>
    <w:next w:val="1"/>
    <w:qFormat/>
    <w:uiPriority w:val="0"/>
    <w:pPr>
      <w:keepNext/>
      <w:keepLines/>
      <w:widowControl w:val="0"/>
      <w:spacing w:before="280" w:after="290" w:line="376" w:lineRule="auto"/>
      <w:jc w:val="both"/>
      <w:outlineLvl w:val="3"/>
    </w:pPr>
    <w:rPr>
      <w:rFonts w:hint="default" w:ascii="Arial" w:hAnsi="Arial" w:eastAsia="黑体" w:cs="Times New Roman"/>
      <w:b/>
      <w:bCs/>
      <w:sz w:val="28"/>
      <w:szCs w:val="28"/>
      <w:lang w:val="en-US" w:eastAsia="zh-CN" w:bidi="ar-SA"/>
    </w:rPr>
  </w:style>
  <w:style w:type="paragraph" w:customStyle="1" w:styleId="184">
    <w:name w:val="普通正文"/>
    <w:qFormat/>
    <w:uiPriority w:val="0"/>
    <w:pPr>
      <w:widowControl w:val="0"/>
      <w:spacing w:before="120" w:after="120" w:line="360" w:lineRule="auto"/>
      <w:ind w:firstLine="480"/>
      <w:jc w:val="left"/>
    </w:pPr>
    <w:rPr>
      <w:rFonts w:hint="default" w:ascii="Arial" w:hAnsi="Arial" w:eastAsia="宋体" w:cs="Times New Roman"/>
      <w:sz w:val="24"/>
      <w:szCs w:val="24"/>
      <w:lang w:val="en-US" w:eastAsia="zh-CN" w:bidi="ar-SA"/>
    </w:rPr>
  </w:style>
  <w:style w:type="paragraph" w:customStyle="1" w:styleId="185">
    <w:name w:val="正文空2字"/>
    <w:qFormat/>
    <w:uiPriority w:val="99"/>
    <w:pPr>
      <w:widowControl w:val="0"/>
      <w:spacing w:line="560" w:lineRule="exact"/>
      <w:ind w:firstLine="640"/>
      <w:jc w:val="left"/>
    </w:pPr>
    <w:rPr>
      <w:rFonts w:hint="default" w:ascii="仿宋_GB2312" w:hAnsi="仿宋_GB2312" w:eastAsia="仿宋_GB2312" w:cs="仿宋_GB2312"/>
      <w:sz w:val="32"/>
      <w:szCs w:val="32"/>
      <w:lang w:val="zh-TW" w:eastAsia="zh-CN" w:bidi="ar-SA"/>
    </w:rPr>
  </w:style>
  <w:style w:type="paragraph" w:customStyle="1" w:styleId="186">
    <w:name w:val="正文缩进1"/>
    <w:qFormat/>
    <w:uiPriority w:val="0"/>
    <w:pPr>
      <w:widowControl w:val="0"/>
      <w:ind w:firstLine="420"/>
      <w:jc w:val="both"/>
    </w:pPr>
    <w:rPr>
      <w:rFonts w:hint="default" w:ascii="Calibri" w:hAnsi="Calibri" w:eastAsia="宋体" w:cs="Times New Roman"/>
      <w:sz w:val="20"/>
      <w:szCs w:val="21"/>
      <w:lang w:val="en-US" w:eastAsia="zh-CN" w:bidi="ar-SA"/>
    </w:rPr>
  </w:style>
  <w:style w:type="paragraph" w:customStyle="1" w:styleId="187">
    <w:name w:val="纯文本1"/>
    <w:qFormat/>
    <w:uiPriority w:val="0"/>
    <w:pPr>
      <w:widowControl w:val="0"/>
      <w:jc w:val="both"/>
    </w:pPr>
    <w:rPr>
      <w:rFonts w:hint="default" w:ascii="宋体" w:hAnsi="Courier New" w:eastAsia="宋体" w:cs="Times New Roman"/>
      <w:sz w:val="20"/>
      <w:szCs w:val="21"/>
      <w:lang w:val="en-US" w:eastAsia="zh-CN" w:bidi="ar-SA"/>
    </w:rPr>
  </w:style>
  <w:style w:type="paragraph" w:customStyle="1" w:styleId="188">
    <w:name w:val="标题 5_0"/>
    <w:next w:val="189"/>
    <w:qFormat/>
    <w:uiPriority w:val="0"/>
    <w:pPr>
      <w:widowControl w:val="0"/>
      <w:spacing w:before="100" w:beforeAutospacing="1" w:after="100" w:afterAutospacing="1"/>
      <w:ind w:left="522"/>
      <w:jc w:val="left"/>
      <w:outlineLvl w:val="4"/>
    </w:pPr>
    <w:rPr>
      <w:rFonts w:hint="default" w:ascii="仿宋" w:hAnsi="仿宋" w:eastAsia="仿宋" w:cs="宋体"/>
      <w:b/>
      <w:bCs/>
      <w:sz w:val="28"/>
      <w:szCs w:val="28"/>
      <w:lang w:val="en-US" w:eastAsia="zh-CN" w:bidi="ar-SA"/>
    </w:rPr>
  </w:style>
  <w:style w:type="paragraph" w:customStyle="1" w:styleId="189">
    <w:name w:val="正文_3"/>
    <w:qFormat/>
    <w:uiPriority w:val="0"/>
    <w:pPr>
      <w:widowControl w:val="0"/>
      <w:jc w:val="both"/>
    </w:pPr>
    <w:rPr>
      <w:rFonts w:hint="default" w:ascii="Calibri" w:hAnsi="Calibri" w:eastAsia="宋体" w:cs="Times New Roman"/>
      <w:sz w:val="21"/>
      <w:szCs w:val="21"/>
      <w:lang w:val="en-US" w:eastAsia="zh-CN" w:bidi="ar-SA"/>
    </w:rPr>
  </w:style>
  <w:style w:type="paragraph" w:customStyle="1" w:styleId="190">
    <w:name w:val="标题 21"/>
    <w:next w:val="186"/>
    <w:qFormat/>
    <w:uiPriority w:val="0"/>
    <w:pPr>
      <w:keepNext/>
      <w:keepLines/>
      <w:widowControl w:val="0"/>
      <w:spacing w:before="260" w:after="260" w:line="416" w:lineRule="auto"/>
      <w:jc w:val="center"/>
      <w:outlineLvl w:val="1"/>
    </w:pPr>
    <w:rPr>
      <w:rFonts w:hint="default" w:ascii="Arial" w:hAnsi="Arial" w:eastAsia="幼圆" w:cs="Times New Roman"/>
      <w:b/>
      <w:bCs/>
      <w:sz w:val="44"/>
      <w:szCs w:val="44"/>
      <w:lang w:val="en-US" w:eastAsia="zh-CN" w:bidi="ar-SA"/>
    </w:rPr>
  </w:style>
  <w:style w:type="paragraph" w:customStyle="1" w:styleId="191">
    <w:name w:val="正文_1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2">
    <w:name w:val="Normal_1_1"/>
    <w:qFormat/>
    <w:uiPriority w:val="0"/>
    <w:pPr>
      <w:keepNext w:val="0"/>
      <w:keepLines w:val="0"/>
      <w:widowControl/>
      <w:suppressLineNumbers w:val="0"/>
      <w:spacing w:before="0" w:beforeAutospacing="0" w:after="0" w:afterAutospacing="0"/>
      <w:ind w:left="0" w:right="0"/>
      <w:jc w:val="left"/>
    </w:pPr>
    <w:rPr>
      <w:rFonts w:hint="eastAsia" w:ascii="黑体" w:hAnsi="宋体" w:eastAsia="黑体" w:cs="Times New Roman"/>
      <w:b/>
      <w:sz w:val="32"/>
      <w:szCs w:val="24"/>
      <w:lang w:val="en-US" w:eastAsia="zh-CN" w:bidi="ar"/>
    </w:rPr>
  </w:style>
  <w:style w:type="paragraph" w:customStyle="1" w:styleId="193">
    <w:name w:val="正文_6_0_0"/>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4">
    <w:name w:val="正文_11_0"/>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1"/>
      <w:szCs w:val="22"/>
      <w:lang w:val="en-US" w:eastAsia="zh-CN" w:bidi="ar"/>
    </w:rPr>
  </w:style>
  <w:style w:type="paragraph" w:customStyle="1" w:styleId="195">
    <w:name w:val="Normal_20"/>
    <w:qFormat/>
    <w:uiPriority w:val="0"/>
    <w:rPr>
      <w:rFonts w:hint="default" w:ascii="黑体" w:hAnsi="黑体" w:eastAsia="黑体" w:cs="黑体"/>
      <w:b/>
      <w:sz w:val="32"/>
      <w:szCs w:val="24"/>
      <w:lang w:val="en-US" w:eastAsia="zh-CN" w:bidi="ar-SA"/>
    </w:rPr>
  </w:style>
  <w:style w:type="paragraph" w:customStyle="1" w:styleId="196">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97">
    <w:name w:val="页眉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 w:type="paragraph" w:customStyle="1" w:styleId="198">
    <w:name w:val="页脚1"/>
    <w:qFormat/>
    <w:uiPriority w:val="0"/>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character" w:customStyle="1" w:styleId="199">
    <w:name w:val="页码1"/>
    <w:link w:val="1"/>
    <w:qFormat/>
    <w:uiPriority w:val="0"/>
    <w:rPr>
      <w:rFonts w:hint="default" w:ascii="Calibri" w:hAnsi="Calibri" w:eastAsia="宋体" w:cs="Times New Roman"/>
      <w:sz w:val="21"/>
      <w:szCs w:val="22"/>
      <w:lang w:val="en-US" w:eastAsia="zh-CN" w:bidi="ar-SA"/>
    </w:rPr>
  </w:style>
  <w:style w:type="paragraph" w:customStyle="1" w:styleId="200">
    <w:name w:val="Normal_22"/>
    <w:qFormat/>
    <w:uiPriority w:val="0"/>
    <w:rPr>
      <w:rFonts w:hint="default" w:ascii="黑体" w:hAnsi="Times New Roman" w:eastAsia="黑体" w:cs="黑体"/>
      <w:b/>
      <w:sz w:val="32"/>
      <w:szCs w:val="24"/>
      <w:lang w:val="en-US" w:eastAsia="zh-CN" w:bidi="ar-SA"/>
    </w:rPr>
  </w:style>
  <w:style w:type="character" w:customStyle="1" w:styleId="201">
    <w:name w:val="默认段落字体1"/>
    <w:link w:val="1"/>
    <w:semiHidden/>
    <w:qFormat/>
    <w:uiPriority w:val="0"/>
  </w:style>
  <w:style w:type="table" w:customStyle="1" w:styleId="202">
    <w:name w:val="网格型1"/>
    <w:qFormat/>
    <w:uiPriority w:val="0"/>
    <w:pPr>
      <w:widowControl w:val="0"/>
      <w:jc w:val="both"/>
    </w:pPr>
  </w:style>
  <w:style w:type="table" w:customStyle="1" w:styleId="203">
    <w:name w:val="普通表格1"/>
    <w:unhideWhenUsed/>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44</Pages>
  <Words>27572</Words>
  <Characters>29074</Characters>
  <TotalTime>6</TotalTime>
  <ScaleCrop>false</ScaleCrop>
  <LinksUpToDate>false</LinksUpToDate>
  <CharactersWithSpaces>30133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2024-12-11T09:19:00Z</dcterms:created>
  <dc:creator>Administrator</dc:creator>
  <cp:lastModifiedBy>zx</cp:lastModifiedBy>
  <dcterms:modified xsi:type="dcterms:W3CDTF">2026-05-07T02:30:41Z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09EBFB548F46445AB587B9A0FC9DF0EB_13</vt:lpwstr>
  </property>
  <property fmtid="{D5CDD505-2E9C-101B-9397-08002B2CF9AE}" pid="4" name="KSOTemplateDocerSaveRecord">
    <vt:lpwstr>eyJoZGlkIjoiNTg3NWVkZWQxMDQ3MmI4MTlkZjBkMjBiM2QyMTAxZmMiLCJ1c2VySWQiOiIxMTQwMDYxNjg1In0=</vt:lpwstr>
  </property>
</Properties>
</file>